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8C" w:rsidRPr="00C95C5C" w:rsidRDefault="002614EB" w:rsidP="008B04DD">
      <w:pPr>
        <w:spacing w:before="66"/>
        <w:ind w:right="133"/>
        <w:jc w:val="center"/>
        <w:rPr>
          <w:rFonts w:ascii="Arial" w:hAnsi="Arial" w:cs="Arial"/>
          <w:b/>
          <w:sz w:val="24"/>
          <w:szCs w:val="24"/>
        </w:rPr>
      </w:pPr>
      <w:r w:rsidRPr="00C95C5C">
        <w:rPr>
          <w:rFonts w:ascii="Arial" w:hAnsi="Arial" w:cs="Arial"/>
          <w:b/>
          <w:spacing w:val="-2"/>
          <w:w w:val="80"/>
          <w:sz w:val="24"/>
          <w:szCs w:val="24"/>
        </w:rPr>
        <w:t>NOTA</w:t>
      </w:r>
      <w:r w:rsidRPr="00C95C5C">
        <w:rPr>
          <w:rFonts w:ascii="Arial" w:hAnsi="Arial" w:cs="Arial"/>
          <w:b/>
          <w:spacing w:val="-9"/>
          <w:w w:val="90"/>
          <w:sz w:val="24"/>
          <w:szCs w:val="24"/>
        </w:rPr>
        <w:t xml:space="preserve"> </w:t>
      </w:r>
      <w:r w:rsidRPr="00C95C5C">
        <w:rPr>
          <w:rFonts w:ascii="Arial" w:hAnsi="Arial" w:cs="Arial"/>
          <w:b/>
          <w:spacing w:val="-2"/>
          <w:w w:val="90"/>
          <w:sz w:val="24"/>
          <w:szCs w:val="24"/>
        </w:rPr>
        <w:t>TÉCNICA</w:t>
      </w:r>
      <w:r w:rsidR="00C95C5C" w:rsidRPr="00C95C5C">
        <w:rPr>
          <w:rFonts w:ascii="Arial" w:hAnsi="Arial" w:cs="Arial"/>
          <w:b/>
          <w:spacing w:val="-2"/>
          <w:w w:val="90"/>
          <w:sz w:val="24"/>
          <w:szCs w:val="24"/>
        </w:rPr>
        <w:t xml:space="preserve"> TCE/PI Nº 02, DE 26 DE JUNHO DE </w:t>
      </w:r>
      <w:proofErr w:type="gramStart"/>
      <w:r w:rsidR="00C95C5C" w:rsidRPr="00C95C5C">
        <w:rPr>
          <w:rFonts w:ascii="Arial" w:hAnsi="Arial" w:cs="Arial"/>
          <w:b/>
          <w:spacing w:val="-2"/>
          <w:w w:val="90"/>
          <w:sz w:val="24"/>
          <w:szCs w:val="24"/>
        </w:rPr>
        <w:t>2013</w:t>
      </w:r>
      <w:bookmarkStart w:id="0" w:name="_GoBack"/>
      <w:bookmarkEnd w:id="0"/>
      <w:proofErr w:type="gramEnd"/>
    </w:p>
    <w:p w:rsidR="00126F8C" w:rsidRPr="008B04DD" w:rsidRDefault="00126F8C" w:rsidP="008B04DD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</w:p>
    <w:p w:rsidR="00126F8C" w:rsidRPr="008B04DD" w:rsidRDefault="00126F8C" w:rsidP="008B04DD">
      <w:pPr>
        <w:pStyle w:val="Corpodetexto"/>
        <w:spacing w:before="170"/>
        <w:jc w:val="both"/>
        <w:rPr>
          <w:rFonts w:ascii="Arial" w:hAnsi="Arial" w:cs="Arial"/>
          <w:b/>
          <w:sz w:val="24"/>
          <w:szCs w:val="24"/>
        </w:rPr>
      </w:pPr>
    </w:p>
    <w:p w:rsidR="00126F8C" w:rsidRPr="008B04DD" w:rsidRDefault="002614EB" w:rsidP="008B04DD">
      <w:pPr>
        <w:pStyle w:val="Corpodetexto"/>
        <w:spacing w:line="360" w:lineRule="auto"/>
        <w:ind w:left="1" w:right="138" w:firstLine="707"/>
        <w:jc w:val="both"/>
        <w:rPr>
          <w:rFonts w:ascii="Arial" w:hAnsi="Arial" w:cs="Arial"/>
          <w:sz w:val="24"/>
          <w:szCs w:val="24"/>
        </w:rPr>
      </w:pPr>
      <w:r w:rsidRPr="008B04DD">
        <w:rPr>
          <w:rFonts w:ascii="Arial" w:hAnsi="Arial" w:cs="Arial"/>
          <w:w w:val="85"/>
          <w:sz w:val="24"/>
          <w:szCs w:val="24"/>
        </w:rPr>
        <w:t xml:space="preserve">Considerando que vários dos gestores municipais que assumiram o mandato em 2013 encontram-se inadimplentes quanto ao pagamento de pessoal referente a folhas </w:t>
      </w:r>
      <w:r w:rsidRPr="008B04DD">
        <w:rPr>
          <w:rFonts w:ascii="Arial" w:hAnsi="Arial" w:cs="Arial"/>
          <w:w w:val="90"/>
          <w:sz w:val="24"/>
          <w:szCs w:val="24"/>
        </w:rPr>
        <w:t xml:space="preserve">remanescentes da gestão anterior, alguns deles chegando a pagar a competência </w:t>
      </w:r>
      <w:r w:rsidRPr="008B04DD">
        <w:rPr>
          <w:rFonts w:ascii="Arial" w:hAnsi="Arial" w:cs="Arial"/>
          <w:spacing w:val="-2"/>
          <w:w w:val="85"/>
          <w:sz w:val="24"/>
          <w:szCs w:val="24"/>
        </w:rPr>
        <w:t>janeiro/2013, deixando sem pagamento folhas de</w:t>
      </w:r>
      <w:r w:rsidRPr="008B04DD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85"/>
          <w:sz w:val="24"/>
          <w:szCs w:val="24"/>
        </w:rPr>
        <w:t>meses anteriores.</w:t>
      </w:r>
    </w:p>
    <w:p w:rsidR="00126F8C" w:rsidRPr="008B04DD" w:rsidRDefault="002614EB" w:rsidP="008B04DD">
      <w:pPr>
        <w:pStyle w:val="Corpodetexto"/>
        <w:spacing w:before="195" w:line="360" w:lineRule="auto"/>
        <w:ind w:left="1" w:right="143" w:firstLine="707"/>
        <w:jc w:val="both"/>
        <w:rPr>
          <w:rFonts w:ascii="Arial" w:hAnsi="Arial" w:cs="Arial"/>
          <w:sz w:val="24"/>
          <w:szCs w:val="24"/>
        </w:rPr>
      </w:pPr>
      <w:r w:rsidRPr="008B04DD">
        <w:rPr>
          <w:rFonts w:ascii="Arial" w:hAnsi="Arial" w:cs="Arial"/>
          <w:w w:val="85"/>
          <w:sz w:val="24"/>
          <w:szCs w:val="24"/>
        </w:rPr>
        <w:t xml:space="preserve">Considerando os princípios fundamentais insertos na Constituição Federal (artigo </w:t>
      </w:r>
      <w:r w:rsidRPr="008B04DD">
        <w:rPr>
          <w:rFonts w:ascii="Arial" w:hAnsi="Arial" w:cs="Arial"/>
          <w:w w:val="80"/>
          <w:sz w:val="24"/>
          <w:szCs w:val="24"/>
        </w:rPr>
        <w:t xml:space="preserve">1°), notadamente os da Cidadania, da Dignidade da Pessoa Humana e dos Valores Sociais </w:t>
      </w:r>
      <w:r w:rsidRPr="008B04DD">
        <w:rPr>
          <w:rFonts w:ascii="Arial" w:hAnsi="Arial" w:cs="Arial"/>
          <w:w w:val="90"/>
          <w:sz w:val="24"/>
          <w:szCs w:val="24"/>
        </w:rPr>
        <w:t>do Trabalho;</w:t>
      </w:r>
    </w:p>
    <w:p w:rsidR="00126F8C" w:rsidRPr="008B04DD" w:rsidRDefault="002614EB" w:rsidP="008B04DD">
      <w:pPr>
        <w:pStyle w:val="Corpodetexto"/>
        <w:spacing w:before="197" w:line="362" w:lineRule="auto"/>
        <w:ind w:left="1" w:right="143" w:firstLine="707"/>
        <w:jc w:val="both"/>
        <w:rPr>
          <w:rFonts w:ascii="Arial" w:hAnsi="Arial" w:cs="Arial"/>
          <w:sz w:val="24"/>
          <w:szCs w:val="24"/>
        </w:rPr>
      </w:pPr>
      <w:r w:rsidRPr="008B04DD">
        <w:rPr>
          <w:rFonts w:ascii="Arial" w:hAnsi="Arial" w:cs="Arial"/>
          <w:spacing w:val="-2"/>
          <w:w w:val="85"/>
          <w:sz w:val="24"/>
          <w:szCs w:val="24"/>
        </w:rPr>
        <w:t xml:space="preserve">Considerando princípio basilar da administração pública, qual seja o da Legalidade </w:t>
      </w:r>
      <w:r w:rsidRPr="008B04DD">
        <w:rPr>
          <w:rFonts w:ascii="Arial" w:hAnsi="Arial" w:cs="Arial"/>
          <w:w w:val="85"/>
          <w:sz w:val="24"/>
          <w:szCs w:val="24"/>
        </w:rPr>
        <w:t>(artigo 37, caput, da CF/88);</w:t>
      </w:r>
    </w:p>
    <w:p w:rsidR="00126F8C" w:rsidRPr="008B04DD" w:rsidRDefault="002614EB" w:rsidP="008B04DD">
      <w:pPr>
        <w:pStyle w:val="Corpodetexto"/>
        <w:spacing w:before="192" w:line="360" w:lineRule="auto"/>
        <w:ind w:left="1" w:right="139" w:firstLine="707"/>
        <w:jc w:val="both"/>
        <w:rPr>
          <w:rFonts w:ascii="Arial" w:hAnsi="Arial" w:cs="Arial"/>
          <w:sz w:val="24"/>
          <w:szCs w:val="24"/>
        </w:rPr>
      </w:pPr>
      <w:r w:rsidRPr="008B04DD">
        <w:rPr>
          <w:rFonts w:ascii="Arial" w:hAnsi="Arial" w:cs="Arial"/>
          <w:spacing w:val="-2"/>
          <w:w w:val="90"/>
          <w:sz w:val="24"/>
          <w:szCs w:val="24"/>
        </w:rPr>
        <w:t>Considerando</w:t>
      </w:r>
      <w:r w:rsidRPr="008B04DD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o</w:t>
      </w:r>
      <w:r w:rsidRPr="008B04DD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princípio</w:t>
      </w:r>
      <w:r w:rsidRPr="008B04DD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da</w:t>
      </w:r>
      <w:r w:rsidRPr="008B04DD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Continuidade</w:t>
      </w:r>
      <w:r w:rsidRPr="008B04DD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dos</w:t>
      </w:r>
      <w:r w:rsidRPr="008B04DD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Serviços</w:t>
      </w:r>
      <w:r w:rsidRPr="008B04DD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Públicos,</w:t>
      </w:r>
      <w:r w:rsidRPr="008B04DD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que</w:t>
      </w:r>
      <w:r w:rsidRPr="008B04DD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visa</w:t>
      </w:r>
      <w:r w:rsidRPr="008B04DD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 xml:space="preserve">não </w:t>
      </w:r>
      <w:r w:rsidRPr="008B04DD">
        <w:rPr>
          <w:rFonts w:ascii="Arial" w:hAnsi="Arial" w:cs="Arial"/>
          <w:w w:val="90"/>
          <w:sz w:val="24"/>
          <w:szCs w:val="24"/>
        </w:rPr>
        <w:t xml:space="preserve">prejudicar o atendimento à população, notadamente no que respeita aos serviços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essenciais;</w:t>
      </w:r>
    </w:p>
    <w:p w:rsidR="00126F8C" w:rsidRPr="008B04DD" w:rsidRDefault="002614EB" w:rsidP="008B04DD">
      <w:pPr>
        <w:pStyle w:val="Corpodetexto"/>
        <w:spacing w:before="196" w:line="360" w:lineRule="auto"/>
        <w:ind w:left="1" w:right="139" w:firstLine="707"/>
        <w:jc w:val="both"/>
        <w:rPr>
          <w:rFonts w:ascii="Arial" w:hAnsi="Arial" w:cs="Arial"/>
          <w:sz w:val="24"/>
          <w:szCs w:val="24"/>
        </w:rPr>
      </w:pPr>
      <w:r w:rsidRPr="008B04DD">
        <w:rPr>
          <w:rFonts w:ascii="Arial" w:hAnsi="Arial" w:cs="Arial"/>
          <w:w w:val="85"/>
          <w:sz w:val="24"/>
          <w:szCs w:val="24"/>
        </w:rPr>
        <w:t>Considerando</w:t>
      </w:r>
      <w:r w:rsidRPr="008B04DD">
        <w:rPr>
          <w:rFonts w:ascii="Arial" w:hAnsi="Arial" w:cs="Arial"/>
          <w:spacing w:val="-8"/>
          <w:w w:val="85"/>
          <w:sz w:val="24"/>
          <w:szCs w:val="24"/>
        </w:rPr>
        <w:t xml:space="preserve"> </w:t>
      </w:r>
      <w:r w:rsidRPr="008B04DD">
        <w:rPr>
          <w:rFonts w:ascii="Arial" w:hAnsi="Arial" w:cs="Arial"/>
          <w:w w:val="85"/>
          <w:sz w:val="24"/>
          <w:szCs w:val="24"/>
        </w:rPr>
        <w:t>o</w:t>
      </w:r>
      <w:r w:rsidRPr="008B04DD">
        <w:rPr>
          <w:rFonts w:ascii="Arial" w:hAnsi="Arial" w:cs="Arial"/>
          <w:spacing w:val="-8"/>
          <w:w w:val="85"/>
          <w:sz w:val="24"/>
          <w:szCs w:val="24"/>
        </w:rPr>
        <w:t xml:space="preserve"> </w:t>
      </w:r>
      <w:r w:rsidRPr="008B04DD">
        <w:rPr>
          <w:rFonts w:ascii="Arial" w:hAnsi="Arial" w:cs="Arial"/>
          <w:w w:val="85"/>
          <w:sz w:val="24"/>
          <w:szCs w:val="24"/>
        </w:rPr>
        <w:t>princípio</w:t>
      </w:r>
      <w:r w:rsidRPr="008B04DD">
        <w:rPr>
          <w:rFonts w:ascii="Arial" w:hAnsi="Arial" w:cs="Arial"/>
          <w:spacing w:val="-8"/>
          <w:w w:val="85"/>
          <w:sz w:val="24"/>
          <w:szCs w:val="24"/>
        </w:rPr>
        <w:t xml:space="preserve"> </w:t>
      </w:r>
      <w:r w:rsidRPr="008B04DD">
        <w:rPr>
          <w:rFonts w:ascii="Arial" w:hAnsi="Arial" w:cs="Arial"/>
          <w:w w:val="85"/>
          <w:sz w:val="24"/>
          <w:szCs w:val="24"/>
        </w:rPr>
        <w:t>da</w:t>
      </w:r>
      <w:r w:rsidRPr="008B04DD">
        <w:rPr>
          <w:rFonts w:ascii="Arial" w:hAnsi="Arial" w:cs="Arial"/>
          <w:spacing w:val="-8"/>
          <w:w w:val="85"/>
          <w:sz w:val="24"/>
          <w:szCs w:val="24"/>
        </w:rPr>
        <w:t xml:space="preserve"> </w:t>
      </w:r>
      <w:r w:rsidRPr="008B04DD">
        <w:rPr>
          <w:rFonts w:ascii="Arial" w:hAnsi="Arial" w:cs="Arial"/>
          <w:w w:val="85"/>
          <w:sz w:val="24"/>
          <w:szCs w:val="24"/>
        </w:rPr>
        <w:t>Competência,</w:t>
      </w:r>
      <w:r w:rsidRPr="008B04DD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8B04DD">
        <w:rPr>
          <w:rFonts w:ascii="Arial" w:hAnsi="Arial" w:cs="Arial"/>
          <w:w w:val="85"/>
          <w:sz w:val="24"/>
          <w:szCs w:val="24"/>
        </w:rPr>
        <w:t>inserto</w:t>
      </w:r>
      <w:r w:rsidRPr="008B04DD">
        <w:rPr>
          <w:rFonts w:ascii="Arial" w:hAnsi="Arial" w:cs="Arial"/>
          <w:spacing w:val="-8"/>
          <w:w w:val="85"/>
          <w:sz w:val="24"/>
          <w:szCs w:val="24"/>
        </w:rPr>
        <w:t xml:space="preserve"> </w:t>
      </w:r>
      <w:r w:rsidRPr="008B04DD">
        <w:rPr>
          <w:rFonts w:ascii="Arial" w:hAnsi="Arial" w:cs="Arial"/>
          <w:w w:val="85"/>
          <w:sz w:val="24"/>
          <w:szCs w:val="24"/>
        </w:rPr>
        <w:t>no</w:t>
      </w:r>
      <w:r w:rsidRPr="008B04DD">
        <w:rPr>
          <w:rFonts w:ascii="Arial" w:hAnsi="Arial" w:cs="Arial"/>
          <w:spacing w:val="-8"/>
          <w:w w:val="85"/>
          <w:sz w:val="24"/>
          <w:szCs w:val="24"/>
        </w:rPr>
        <w:t xml:space="preserve"> </w:t>
      </w:r>
      <w:r w:rsidRPr="008B04DD">
        <w:rPr>
          <w:rFonts w:ascii="Arial" w:hAnsi="Arial" w:cs="Arial"/>
          <w:w w:val="85"/>
          <w:sz w:val="24"/>
          <w:szCs w:val="24"/>
        </w:rPr>
        <w:t>artigo</w:t>
      </w:r>
      <w:r w:rsidRPr="008B04DD">
        <w:rPr>
          <w:rFonts w:ascii="Arial" w:hAnsi="Arial" w:cs="Arial"/>
          <w:spacing w:val="-8"/>
          <w:w w:val="85"/>
          <w:sz w:val="24"/>
          <w:szCs w:val="24"/>
        </w:rPr>
        <w:t xml:space="preserve"> </w:t>
      </w:r>
      <w:r w:rsidRPr="008B04DD">
        <w:rPr>
          <w:rFonts w:ascii="Arial" w:hAnsi="Arial" w:cs="Arial"/>
          <w:w w:val="85"/>
          <w:sz w:val="24"/>
          <w:szCs w:val="24"/>
        </w:rPr>
        <w:t>9º,</w:t>
      </w:r>
      <w:r w:rsidRPr="008B04DD">
        <w:rPr>
          <w:rFonts w:ascii="Arial" w:hAnsi="Arial" w:cs="Arial"/>
          <w:spacing w:val="-8"/>
          <w:w w:val="85"/>
          <w:sz w:val="24"/>
          <w:szCs w:val="24"/>
        </w:rPr>
        <w:t xml:space="preserve"> </w:t>
      </w:r>
      <w:r w:rsidRPr="008B04DD">
        <w:rPr>
          <w:rFonts w:ascii="Arial" w:hAnsi="Arial" w:cs="Arial"/>
          <w:w w:val="85"/>
          <w:sz w:val="24"/>
          <w:szCs w:val="24"/>
        </w:rPr>
        <w:t>da</w:t>
      </w:r>
      <w:r w:rsidRPr="008B04DD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8B04DD">
        <w:rPr>
          <w:rFonts w:ascii="Arial" w:hAnsi="Arial" w:cs="Arial"/>
          <w:w w:val="85"/>
          <w:sz w:val="24"/>
          <w:szCs w:val="24"/>
        </w:rPr>
        <w:t>Resolução</w:t>
      </w:r>
      <w:r w:rsidRPr="008B04DD">
        <w:rPr>
          <w:rFonts w:ascii="Arial" w:hAnsi="Arial" w:cs="Arial"/>
          <w:spacing w:val="-8"/>
          <w:w w:val="85"/>
          <w:sz w:val="24"/>
          <w:szCs w:val="24"/>
        </w:rPr>
        <w:t xml:space="preserve"> </w:t>
      </w:r>
      <w:r w:rsidRPr="008B04DD">
        <w:rPr>
          <w:rFonts w:ascii="Arial" w:hAnsi="Arial" w:cs="Arial"/>
          <w:w w:val="85"/>
          <w:sz w:val="24"/>
          <w:szCs w:val="24"/>
        </w:rPr>
        <w:t xml:space="preserve">CFC </w:t>
      </w:r>
      <w:r w:rsidRPr="008B04DD">
        <w:rPr>
          <w:rFonts w:ascii="Arial" w:hAnsi="Arial" w:cs="Arial"/>
          <w:w w:val="90"/>
          <w:sz w:val="24"/>
          <w:szCs w:val="24"/>
        </w:rPr>
        <w:t>nº</w:t>
      </w:r>
      <w:r w:rsidRPr="008B04DD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1.367/2011, que</w:t>
      </w:r>
      <w:r w:rsidRPr="008B04DD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disciplina</w:t>
      </w:r>
      <w:r w:rsidRPr="008B04DD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que</w:t>
      </w:r>
      <w:r w:rsidRPr="008B04DD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os</w:t>
      </w:r>
      <w:r w:rsidRPr="008B04DD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efeitos</w:t>
      </w:r>
      <w:r w:rsidRPr="008B04DD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das</w:t>
      </w:r>
      <w:r w:rsidRPr="008B04DD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transações</w:t>
      </w:r>
      <w:r w:rsidRPr="008B04DD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e</w:t>
      </w:r>
      <w:r w:rsidRPr="008B04DD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outros</w:t>
      </w:r>
      <w:r w:rsidRPr="008B04DD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eventos</w:t>
      </w:r>
      <w:r w:rsidRPr="008B04DD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 xml:space="preserve">sejam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reconhecidos</w:t>
      </w:r>
      <w:r w:rsidRPr="008B04DD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nos</w:t>
      </w:r>
      <w:r w:rsidRPr="008B04DD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períodos</w:t>
      </w:r>
      <w:r w:rsidRPr="008B04DD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a</w:t>
      </w:r>
      <w:r w:rsidRPr="008B04DD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que</w:t>
      </w:r>
      <w:r w:rsidRPr="008B04DD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se</w:t>
      </w:r>
      <w:r w:rsidRPr="008B04DD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referem,</w:t>
      </w:r>
      <w:r w:rsidRPr="008B04DD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independentemente</w:t>
      </w:r>
      <w:r w:rsidRPr="008B04DD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do</w:t>
      </w:r>
      <w:r w:rsidRPr="008B04DD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recebimento</w:t>
      </w:r>
      <w:r w:rsidRPr="008B04DD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ou pagamento;</w:t>
      </w:r>
    </w:p>
    <w:p w:rsidR="00126F8C" w:rsidRPr="008B04DD" w:rsidRDefault="002614EB" w:rsidP="008B04DD">
      <w:pPr>
        <w:pStyle w:val="Corpodetexto"/>
        <w:spacing w:before="240" w:line="360" w:lineRule="auto"/>
        <w:ind w:left="1" w:right="139" w:firstLine="707"/>
        <w:jc w:val="both"/>
        <w:rPr>
          <w:rFonts w:ascii="Arial" w:hAnsi="Arial" w:cs="Arial"/>
          <w:sz w:val="24"/>
          <w:szCs w:val="24"/>
        </w:rPr>
      </w:pPr>
      <w:r w:rsidRPr="008B04DD">
        <w:rPr>
          <w:rFonts w:ascii="Arial" w:hAnsi="Arial" w:cs="Arial"/>
          <w:w w:val="85"/>
          <w:sz w:val="24"/>
          <w:szCs w:val="24"/>
        </w:rPr>
        <w:t xml:space="preserve">O Tribunal de Contas do Estado do Piauí, com a finalidade de proporcionar aos </w:t>
      </w:r>
      <w:r w:rsidRPr="008B04DD">
        <w:rPr>
          <w:rFonts w:ascii="Arial" w:hAnsi="Arial" w:cs="Arial"/>
          <w:w w:val="80"/>
          <w:sz w:val="24"/>
          <w:szCs w:val="24"/>
        </w:rPr>
        <w:t xml:space="preserve">municípios piauienses o acompanhamento da gestão dos recursos baseado nos princípios </w:t>
      </w:r>
      <w:r w:rsidRPr="008B04DD">
        <w:rPr>
          <w:rFonts w:ascii="Arial" w:hAnsi="Arial" w:cs="Arial"/>
          <w:w w:val="85"/>
          <w:sz w:val="24"/>
          <w:szCs w:val="24"/>
        </w:rPr>
        <w:t xml:space="preserve">acima elencados, informa aos gestores municipais, notadamente àqueles eleitos para primeiro mandato, que deverão proceder ao pagamento de pessoal de forma contínua, </w:t>
      </w:r>
      <w:r w:rsidRPr="008B04DD">
        <w:rPr>
          <w:rFonts w:ascii="Arial" w:hAnsi="Arial" w:cs="Arial"/>
          <w:w w:val="90"/>
          <w:sz w:val="24"/>
          <w:szCs w:val="24"/>
        </w:rPr>
        <w:t>independentemente</w:t>
      </w:r>
      <w:r w:rsidRPr="008B04DD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do exercício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financeiro</w:t>
      </w:r>
      <w:r w:rsidRPr="008B04DD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a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que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pertença</w:t>
      </w:r>
      <w:r w:rsidRPr="008B04DD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proofErr w:type="gramStart"/>
      <w:r w:rsidRPr="008B04DD">
        <w:rPr>
          <w:rFonts w:ascii="Arial" w:hAnsi="Arial" w:cs="Arial"/>
          <w:w w:val="90"/>
          <w:sz w:val="24"/>
          <w:szCs w:val="24"/>
        </w:rPr>
        <w:t>a</w:t>
      </w:r>
      <w:proofErr w:type="gramEnd"/>
      <w:r w:rsidRPr="008B04DD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despesa,</w:t>
      </w:r>
      <w:r w:rsidRPr="008B04DD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sob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>pena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8B04DD">
        <w:rPr>
          <w:rFonts w:ascii="Arial" w:hAnsi="Arial" w:cs="Arial"/>
          <w:w w:val="90"/>
          <w:sz w:val="24"/>
          <w:szCs w:val="24"/>
        </w:rPr>
        <w:t xml:space="preserve">de </w:t>
      </w:r>
      <w:r w:rsidRPr="008B04DD">
        <w:rPr>
          <w:rFonts w:ascii="Arial" w:hAnsi="Arial" w:cs="Arial"/>
          <w:spacing w:val="-2"/>
          <w:w w:val="90"/>
          <w:sz w:val="24"/>
          <w:szCs w:val="24"/>
        </w:rPr>
        <w:t>responsabilização.</w:t>
      </w:r>
    </w:p>
    <w:p w:rsidR="00126F8C" w:rsidRPr="008B04DD" w:rsidRDefault="002614EB" w:rsidP="008B04DD">
      <w:pPr>
        <w:pStyle w:val="Corpodetexto"/>
        <w:spacing w:line="360" w:lineRule="auto"/>
        <w:ind w:left="1" w:right="137" w:firstLine="707"/>
        <w:jc w:val="both"/>
        <w:rPr>
          <w:rFonts w:ascii="Arial" w:hAnsi="Arial" w:cs="Arial"/>
          <w:sz w:val="24"/>
          <w:szCs w:val="24"/>
        </w:rPr>
      </w:pPr>
      <w:r w:rsidRPr="008B04DD">
        <w:rPr>
          <w:rFonts w:ascii="Arial" w:hAnsi="Arial" w:cs="Arial"/>
          <w:color w:val="000009"/>
          <w:w w:val="80"/>
          <w:sz w:val="24"/>
          <w:szCs w:val="24"/>
        </w:rPr>
        <w:t>O Tribunal de Contas do Estado do Piauí alerta, ainda, os controladores municipais,</w:t>
      </w:r>
      <w:r w:rsidRPr="008B04D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B04DD">
        <w:rPr>
          <w:rFonts w:ascii="Arial" w:hAnsi="Arial" w:cs="Arial"/>
          <w:color w:val="000009"/>
          <w:w w:val="85"/>
          <w:sz w:val="24"/>
          <w:szCs w:val="24"/>
        </w:rPr>
        <w:t>da responsabilidade que lhes cabe por força de previsão legal inserta no artigo 114, da Resolução</w:t>
      </w:r>
      <w:r w:rsidRPr="008B04DD">
        <w:rPr>
          <w:rFonts w:ascii="Arial" w:hAnsi="Arial" w:cs="Arial"/>
          <w:color w:val="000009"/>
          <w:spacing w:val="-1"/>
          <w:w w:val="85"/>
          <w:sz w:val="24"/>
          <w:szCs w:val="24"/>
        </w:rPr>
        <w:t xml:space="preserve"> </w:t>
      </w:r>
      <w:r w:rsidRPr="008B04DD">
        <w:rPr>
          <w:rFonts w:ascii="Arial" w:hAnsi="Arial" w:cs="Arial"/>
          <w:color w:val="000009"/>
          <w:w w:val="85"/>
          <w:sz w:val="24"/>
          <w:szCs w:val="24"/>
        </w:rPr>
        <w:t xml:space="preserve">TCE nº 32/12, </w:t>
      </w:r>
      <w:r w:rsidRPr="008B04DD">
        <w:rPr>
          <w:rFonts w:ascii="Arial" w:hAnsi="Arial" w:cs="Arial"/>
          <w:i/>
          <w:color w:val="000009"/>
          <w:w w:val="85"/>
          <w:sz w:val="24"/>
          <w:szCs w:val="24"/>
        </w:rPr>
        <w:t>litteris</w:t>
      </w:r>
      <w:r w:rsidRPr="008B04DD">
        <w:rPr>
          <w:rFonts w:ascii="Arial" w:hAnsi="Arial" w:cs="Arial"/>
          <w:color w:val="000009"/>
          <w:w w:val="85"/>
          <w:sz w:val="24"/>
          <w:szCs w:val="24"/>
        </w:rPr>
        <w:t>:</w:t>
      </w:r>
    </w:p>
    <w:p w:rsidR="00126F8C" w:rsidRPr="008B04DD" w:rsidRDefault="008B04DD" w:rsidP="008B04DD">
      <w:pPr>
        <w:pStyle w:val="Corpodetexto"/>
        <w:tabs>
          <w:tab w:val="left" w:pos="1348"/>
        </w:tabs>
        <w:spacing w:before="5"/>
        <w:ind w:left="226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9"/>
          <w:w w:val="85"/>
          <w:sz w:val="22"/>
          <w:szCs w:val="24"/>
        </w:rPr>
        <w:t>“</w:t>
      </w:r>
      <w:r w:rsidR="002614EB" w:rsidRPr="008B04DD">
        <w:rPr>
          <w:rFonts w:ascii="Arial" w:hAnsi="Arial" w:cs="Arial"/>
          <w:color w:val="000009"/>
          <w:w w:val="85"/>
          <w:sz w:val="22"/>
          <w:szCs w:val="24"/>
        </w:rPr>
        <w:t>Art. 114. Os responsáveis pelo controle interno, ao tomarem conhecimento de qualquer</w:t>
      </w:r>
      <w:r w:rsidR="002614EB" w:rsidRPr="008B04DD">
        <w:rPr>
          <w:rFonts w:ascii="Arial" w:hAnsi="Arial" w:cs="Arial"/>
          <w:color w:val="000009"/>
          <w:spacing w:val="-8"/>
          <w:w w:val="85"/>
          <w:sz w:val="22"/>
          <w:szCs w:val="24"/>
        </w:rPr>
        <w:t xml:space="preserve"> </w:t>
      </w:r>
      <w:r w:rsidR="002614EB" w:rsidRPr="008B04DD">
        <w:rPr>
          <w:rFonts w:ascii="Arial" w:hAnsi="Arial" w:cs="Arial"/>
          <w:color w:val="000009"/>
          <w:w w:val="85"/>
          <w:sz w:val="22"/>
          <w:szCs w:val="24"/>
        </w:rPr>
        <w:t>irregularidade</w:t>
      </w:r>
      <w:r w:rsidR="002614EB" w:rsidRPr="008B04DD">
        <w:rPr>
          <w:rFonts w:ascii="Arial" w:hAnsi="Arial" w:cs="Arial"/>
          <w:color w:val="000009"/>
          <w:spacing w:val="-8"/>
          <w:w w:val="85"/>
          <w:sz w:val="22"/>
          <w:szCs w:val="24"/>
        </w:rPr>
        <w:t xml:space="preserve"> </w:t>
      </w:r>
      <w:r w:rsidR="002614EB" w:rsidRPr="008B04DD">
        <w:rPr>
          <w:rFonts w:ascii="Arial" w:hAnsi="Arial" w:cs="Arial"/>
          <w:color w:val="000009"/>
          <w:w w:val="85"/>
          <w:sz w:val="22"/>
          <w:szCs w:val="24"/>
        </w:rPr>
        <w:t>ou</w:t>
      </w:r>
      <w:r w:rsidR="002614EB" w:rsidRPr="008B04DD">
        <w:rPr>
          <w:rFonts w:ascii="Arial" w:hAnsi="Arial" w:cs="Arial"/>
          <w:color w:val="000009"/>
          <w:spacing w:val="-8"/>
          <w:w w:val="85"/>
          <w:sz w:val="22"/>
          <w:szCs w:val="24"/>
        </w:rPr>
        <w:t xml:space="preserve"> </w:t>
      </w:r>
      <w:r w:rsidR="002614EB" w:rsidRPr="008B04DD">
        <w:rPr>
          <w:rFonts w:ascii="Arial" w:hAnsi="Arial" w:cs="Arial"/>
          <w:color w:val="000009"/>
          <w:w w:val="85"/>
          <w:sz w:val="22"/>
          <w:szCs w:val="24"/>
        </w:rPr>
        <w:t>ilegalidade,</w:t>
      </w:r>
      <w:r w:rsidR="002614EB" w:rsidRPr="008B04DD">
        <w:rPr>
          <w:rFonts w:ascii="Arial" w:hAnsi="Arial" w:cs="Arial"/>
          <w:color w:val="000009"/>
          <w:spacing w:val="-8"/>
          <w:w w:val="85"/>
          <w:sz w:val="22"/>
          <w:szCs w:val="24"/>
        </w:rPr>
        <w:t xml:space="preserve"> </w:t>
      </w:r>
      <w:r w:rsidR="002614EB" w:rsidRPr="008B04DD">
        <w:rPr>
          <w:rFonts w:ascii="Arial" w:hAnsi="Arial" w:cs="Arial"/>
          <w:color w:val="000009"/>
          <w:w w:val="85"/>
          <w:sz w:val="22"/>
          <w:szCs w:val="24"/>
        </w:rPr>
        <w:t>dela</w:t>
      </w:r>
      <w:r w:rsidR="002614EB" w:rsidRPr="008B04DD">
        <w:rPr>
          <w:rFonts w:ascii="Arial" w:hAnsi="Arial" w:cs="Arial"/>
          <w:color w:val="000009"/>
          <w:spacing w:val="-7"/>
          <w:w w:val="85"/>
          <w:sz w:val="22"/>
          <w:szCs w:val="24"/>
        </w:rPr>
        <w:t xml:space="preserve"> </w:t>
      </w:r>
      <w:r w:rsidR="002614EB" w:rsidRPr="008B04DD">
        <w:rPr>
          <w:rFonts w:ascii="Arial" w:hAnsi="Arial" w:cs="Arial"/>
          <w:color w:val="000009"/>
          <w:w w:val="85"/>
          <w:sz w:val="22"/>
          <w:szCs w:val="24"/>
        </w:rPr>
        <w:t>dará</w:t>
      </w:r>
      <w:r w:rsidR="002614EB" w:rsidRPr="008B04DD">
        <w:rPr>
          <w:rFonts w:ascii="Arial" w:hAnsi="Arial" w:cs="Arial"/>
          <w:color w:val="000009"/>
          <w:spacing w:val="-8"/>
          <w:w w:val="85"/>
          <w:sz w:val="22"/>
          <w:szCs w:val="24"/>
        </w:rPr>
        <w:t xml:space="preserve"> </w:t>
      </w:r>
      <w:r w:rsidR="002614EB" w:rsidRPr="008B04DD">
        <w:rPr>
          <w:rFonts w:ascii="Arial" w:hAnsi="Arial" w:cs="Arial"/>
          <w:color w:val="000009"/>
          <w:w w:val="85"/>
          <w:sz w:val="22"/>
          <w:szCs w:val="24"/>
        </w:rPr>
        <w:t>ciência</w:t>
      </w:r>
      <w:r w:rsidR="002614EB" w:rsidRPr="008B04DD">
        <w:rPr>
          <w:rFonts w:ascii="Arial" w:hAnsi="Arial" w:cs="Arial"/>
          <w:color w:val="000009"/>
          <w:spacing w:val="-8"/>
          <w:w w:val="85"/>
          <w:sz w:val="22"/>
          <w:szCs w:val="24"/>
        </w:rPr>
        <w:t xml:space="preserve"> </w:t>
      </w:r>
      <w:r w:rsidR="002614EB" w:rsidRPr="008B04DD">
        <w:rPr>
          <w:rFonts w:ascii="Arial" w:hAnsi="Arial" w:cs="Arial"/>
          <w:color w:val="000009"/>
          <w:w w:val="85"/>
          <w:sz w:val="22"/>
          <w:szCs w:val="24"/>
        </w:rPr>
        <w:t>ao</w:t>
      </w:r>
      <w:r w:rsidR="002614EB" w:rsidRPr="008B04DD">
        <w:rPr>
          <w:rFonts w:ascii="Arial" w:hAnsi="Arial" w:cs="Arial"/>
          <w:color w:val="000009"/>
          <w:spacing w:val="-8"/>
          <w:w w:val="85"/>
          <w:sz w:val="22"/>
          <w:szCs w:val="24"/>
        </w:rPr>
        <w:t xml:space="preserve"> </w:t>
      </w:r>
      <w:r w:rsidR="002614EB" w:rsidRPr="008B04DD">
        <w:rPr>
          <w:rFonts w:ascii="Arial" w:hAnsi="Arial" w:cs="Arial"/>
          <w:color w:val="000009"/>
          <w:w w:val="85"/>
          <w:sz w:val="22"/>
          <w:szCs w:val="24"/>
        </w:rPr>
        <w:t>Tribunal</w:t>
      </w:r>
      <w:r w:rsidR="002614EB" w:rsidRPr="008B04DD">
        <w:rPr>
          <w:rFonts w:ascii="Arial" w:hAnsi="Arial" w:cs="Arial"/>
          <w:color w:val="000009"/>
          <w:spacing w:val="-8"/>
          <w:w w:val="85"/>
          <w:sz w:val="22"/>
          <w:szCs w:val="24"/>
        </w:rPr>
        <w:t xml:space="preserve"> </w:t>
      </w:r>
      <w:r w:rsidR="002614EB" w:rsidRPr="008B04DD">
        <w:rPr>
          <w:rFonts w:ascii="Arial" w:hAnsi="Arial" w:cs="Arial"/>
          <w:color w:val="000009"/>
          <w:w w:val="85"/>
          <w:sz w:val="22"/>
          <w:szCs w:val="24"/>
        </w:rPr>
        <w:t>de</w:t>
      </w:r>
      <w:r w:rsidR="002614EB" w:rsidRPr="008B04DD">
        <w:rPr>
          <w:rFonts w:ascii="Arial" w:hAnsi="Arial" w:cs="Arial"/>
          <w:color w:val="000009"/>
          <w:spacing w:val="-7"/>
          <w:w w:val="85"/>
          <w:sz w:val="22"/>
          <w:szCs w:val="24"/>
        </w:rPr>
        <w:t xml:space="preserve"> </w:t>
      </w:r>
      <w:r w:rsidR="002614EB" w:rsidRPr="008B04DD">
        <w:rPr>
          <w:rFonts w:ascii="Arial" w:hAnsi="Arial" w:cs="Arial"/>
          <w:color w:val="000009"/>
          <w:w w:val="85"/>
          <w:sz w:val="22"/>
          <w:szCs w:val="24"/>
        </w:rPr>
        <w:t>Contas,</w:t>
      </w:r>
      <w:r w:rsidR="002614EB" w:rsidRPr="008B04DD">
        <w:rPr>
          <w:rFonts w:ascii="Arial" w:hAnsi="Arial" w:cs="Arial"/>
          <w:color w:val="000009"/>
          <w:spacing w:val="-8"/>
          <w:w w:val="85"/>
          <w:sz w:val="22"/>
          <w:szCs w:val="24"/>
        </w:rPr>
        <w:t xml:space="preserve"> </w:t>
      </w:r>
      <w:proofErr w:type="gramStart"/>
      <w:r w:rsidR="002614EB" w:rsidRPr="008B04DD">
        <w:rPr>
          <w:rFonts w:ascii="Arial" w:hAnsi="Arial" w:cs="Arial"/>
          <w:color w:val="000009"/>
          <w:w w:val="85"/>
          <w:sz w:val="22"/>
          <w:szCs w:val="24"/>
        </w:rPr>
        <w:t>sob</w:t>
      </w:r>
      <w:r w:rsidR="002614EB" w:rsidRPr="008B04DD">
        <w:rPr>
          <w:rFonts w:ascii="Arial" w:hAnsi="Arial" w:cs="Arial"/>
          <w:color w:val="000009"/>
          <w:spacing w:val="-8"/>
          <w:w w:val="85"/>
          <w:sz w:val="22"/>
          <w:szCs w:val="24"/>
        </w:rPr>
        <w:t xml:space="preserve"> </w:t>
      </w:r>
      <w:r w:rsidR="002614EB" w:rsidRPr="008B04DD">
        <w:rPr>
          <w:rFonts w:ascii="Arial" w:hAnsi="Arial" w:cs="Arial"/>
          <w:color w:val="000009"/>
          <w:w w:val="85"/>
          <w:sz w:val="22"/>
          <w:szCs w:val="24"/>
        </w:rPr>
        <w:t>pena</w:t>
      </w:r>
      <w:proofErr w:type="gramEnd"/>
      <w:r w:rsidR="002614EB" w:rsidRPr="008B04DD">
        <w:rPr>
          <w:rFonts w:ascii="Arial" w:hAnsi="Arial" w:cs="Arial"/>
          <w:color w:val="000009"/>
          <w:w w:val="85"/>
          <w:sz w:val="22"/>
          <w:szCs w:val="24"/>
        </w:rPr>
        <w:t xml:space="preserve"> </w:t>
      </w:r>
      <w:r w:rsidR="002614EB" w:rsidRPr="008B04DD">
        <w:rPr>
          <w:rFonts w:ascii="Arial" w:hAnsi="Arial" w:cs="Arial"/>
          <w:color w:val="000009"/>
          <w:w w:val="80"/>
          <w:sz w:val="22"/>
          <w:szCs w:val="24"/>
        </w:rPr>
        <w:t>de responsabilidade solidária, de acordo com § 1º do artigo 74, da Constituição Federal”.</w:t>
      </w:r>
    </w:p>
    <w:p w:rsidR="002614EB" w:rsidRDefault="002614EB" w:rsidP="008B04DD">
      <w:pPr>
        <w:pStyle w:val="Corpodetexto"/>
        <w:spacing w:line="360" w:lineRule="auto"/>
        <w:ind w:left="1" w:right="133" w:firstLine="707"/>
        <w:jc w:val="both"/>
        <w:rPr>
          <w:rFonts w:ascii="Arial" w:hAnsi="Arial" w:cs="Arial"/>
          <w:color w:val="000009"/>
          <w:w w:val="80"/>
          <w:sz w:val="24"/>
          <w:szCs w:val="24"/>
        </w:rPr>
      </w:pPr>
    </w:p>
    <w:p w:rsidR="00126F8C" w:rsidRPr="008B04DD" w:rsidRDefault="002614EB" w:rsidP="002614EB">
      <w:pPr>
        <w:pStyle w:val="Corpodetexto"/>
        <w:spacing w:line="360" w:lineRule="auto"/>
        <w:ind w:left="1" w:right="133" w:firstLine="707"/>
        <w:jc w:val="both"/>
        <w:rPr>
          <w:rFonts w:ascii="Arial" w:hAnsi="Arial" w:cs="Arial"/>
          <w:sz w:val="24"/>
          <w:szCs w:val="24"/>
        </w:rPr>
      </w:pPr>
      <w:r w:rsidRPr="008B04DD">
        <w:rPr>
          <w:rFonts w:ascii="Arial" w:hAnsi="Arial" w:cs="Arial"/>
          <w:color w:val="000009"/>
          <w:w w:val="80"/>
          <w:sz w:val="24"/>
          <w:szCs w:val="24"/>
        </w:rPr>
        <w:t xml:space="preserve">Ressaltamos ainda, que o não cumprimento do teor desta nota técnica, implicará em irregularidade a ser considerada pela Diretoria de Fiscalização da Administração Estadual – </w:t>
      </w:r>
      <w:r w:rsidRPr="008B04DD">
        <w:rPr>
          <w:rFonts w:ascii="Arial" w:hAnsi="Arial" w:cs="Arial"/>
          <w:color w:val="000009"/>
          <w:w w:val="85"/>
          <w:sz w:val="24"/>
          <w:szCs w:val="24"/>
        </w:rPr>
        <w:t xml:space="preserve">DFAM, quando da elaboração do relatório técnico de análise da prestação de contas do </w:t>
      </w:r>
      <w:r w:rsidRPr="008B04DD">
        <w:rPr>
          <w:rFonts w:ascii="Arial" w:hAnsi="Arial" w:cs="Arial"/>
          <w:color w:val="000009"/>
          <w:spacing w:val="-2"/>
          <w:w w:val="90"/>
          <w:sz w:val="24"/>
          <w:szCs w:val="24"/>
        </w:rPr>
        <w:t>município.</w:t>
      </w:r>
    </w:p>
    <w:p w:rsidR="00126F8C" w:rsidRPr="008B04DD" w:rsidRDefault="002614EB" w:rsidP="002614EB">
      <w:pPr>
        <w:pStyle w:val="Corpodetexto"/>
        <w:spacing w:before="1" w:line="360" w:lineRule="auto"/>
        <w:jc w:val="right"/>
        <w:rPr>
          <w:rFonts w:ascii="Arial" w:hAnsi="Arial" w:cs="Arial"/>
          <w:sz w:val="24"/>
          <w:szCs w:val="24"/>
        </w:rPr>
      </w:pPr>
      <w:r w:rsidRPr="008B04DD">
        <w:rPr>
          <w:rFonts w:ascii="Arial" w:hAnsi="Arial" w:cs="Arial"/>
          <w:w w:val="80"/>
          <w:sz w:val="24"/>
          <w:szCs w:val="24"/>
        </w:rPr>
        <w:t>Teresina</w:t>
      </w:r>
      <w:r w:rsidRPr="008B04DD">
        <w:rPr>
          <w:rFonts w:ascii="Arial" w:hAnsi="Arial" w:cs="Arial"/>
          <w:spacing w:val="-11"/>
          <w:sz w:val="24"/>
          <w:szCs w:val="24"/>
        </w:rPr>
        <w:t xml:space="preserve"> </w:t>
      </w:r>
      <w:r w:rsidRPr="008B04DD">
        <w:rPr>
          <w:rFonts w:ascii="Arial" w:hAnsi="Arial" w:cs="Arial"/>
          <w:w w:val="80"/>
          <w:sz w:val="24"/>
          <w:szCs w:val="24"/>
        </w:rPr>
        <w:t>(PI),</w:t>
      </w:r>
      <w:r w:rsidRPr="008B04DD">
        <w:rPr>
          <w:rFonts w:ascii="Arial" w:hAnsi="Arial" w:cs="Arial"/>
          <w:spacing w:val="-11"/>
          <w:sz w:val="24"/>
          <w:szCs w:val="24"/>
        </w:rPr>
        <w:t xml:space="preserve"> </w:t>
      </w:r>
      <w:r w:rsidRPr="008B04DD">
        <w:rPr>
          <w:rFonts w:ascii="Arial" w:hAnsi="Arial" w:cs="Arial"/>
          <w:w w:val="80"/>
          <w:sz w:val="24"/>
          <w:szCs w:val="24"/>
        </w:rPr>
        <w:t>26</w:t>
      </w:r>
      <w:r w:rsidRPr="008B04DD">
        <w:rPr>
          <w:rFonts w:ascii="Arial" w:hAnsi="Arial" w:cs="Arial"/>
          <w:spacing w:val="-9"/>
          <w:sz w:val="24"/>
          <w:szCs w:val="24"/>
        </w:rPr>
        <w:t xml:space="preserve"> </w:t>
      </w:r>
      <w:r w:rsidRPr="008B04DD">
        <w:rPr>
          <w:rFonts w:ascii="Arial" w:hAnsi="Arial" w:cs="Arial"/>
          <w:w w:val="80"/>
          <w:sz w:val="24"/>
          <w:szCs w:val="24"/>
        </w:rPr>
        <w:t>de</w:t>
      </w:r>
      <w:r w:rsidRPr="008B04DD">
        <w:rPr>
          <w:rFonts w:ascii="Arial" w:hAnsi="Arial" w:cs="Arial"/>
          <w:spacing w:val="-10"/>
          <w:sz w:val="24"/>
          <w:szCs w:val="24"/>
        </w:rPr>
        <w:t xml:space="preserve"> </w:t>
      </w:r>
      <w:r w:rsidRPr="008B04DD">
        <w:rPr>
          <w:rFonts w:ascii="Arial" w:hAnsi="Arial" w:cs="Arial"/>
          <w:w w:val="80"/>
          <w:sz w:val="24"/>
          <w:szCs w:val="24"/>
        </w:rPr>
        <w:t>Junho</w:t>
      </w:r>
      <w:r w:rsidRPr="008B04DD">
        <w:rPr>
          <w:rFonts w:ascii="Arial" w:hAnsi="Arial" w:cs="Arial"/>
          <w:spacing w:val="-10"/>
          <w:sz w:val="24"/>
          <w:szCs w:val="24"/>
        </w:rPr>
        <w:t xml:space="preserve"> </w:t>
      </w:r>
      <w:r w:rsidRPr="008B04DD">
        <w:rPr>
          <w:rFonts w:ascii="Arial" w:hAnsi="Arial" w:cs="Arial"/>
          <w:w w:val="80"/>
          <w:sz w:val="24"/>
          <w:szCs w:val="24"/>
        </w:rPr>
        <w:t>de</w:t>
      </w:r>
      <w:r w:rsidRPr="008B04DD">
        <w:rPr>
          <w:rFonts w:ascii="Arial" w:hAnsi="Arial" w:cs="Arial"/>
          <w:spacing w:val="-10"/>
          <w:sz w:val="24"/>
          <w:szCs w:val="24"/>
        </w:rPr>
        <w:t xml:space="preserve"> </w:t>
      </w:r>
      <w:r w:rsidRPr="008B04DD">
        <w:rPr>
          <w:rFonts w:ascii="Arial" w:hAnsi="Arial" w:cs="Arial"/>
          <w:spacing w:val="-2"/>
          <w:w w:val="80"/>
          <w:sz w:val="24"/>
          <w:szCs w:val="24"/>
        </w:rPr>
        <w:t>2013.</w:t>
      </w:r>
    </w:p>
    <w:sectPr w:rsidR="00126F8C" w:rsidRPr="008B04DD">
      <w:headerReference w:type="default" r:id="rId7"/>
      <w:footerReference w:type="default" r:id="rId8"/>
      <w:pgSz w:w="11910" w:h="16850"/>
      <w:pgMar w:top="2240" w:right="992" w:bottom="280" w:left="1417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A3" w:rsidRDefault="002614EB">
      <w:r>
        <w:separator/>
      </w:r>
    </w:p>
  </w:endnote>
  <w:endnote w:type="continuationSeparator" w:id="0">
    <w:p w:rsidR="00001CA3" w:rsidRDefault="0026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EB" w:rsidRDefault="002614EB">
    <w:pPr>
      <w:pStyle w:val="Rodap"/>
    </w:pPr>
  </w:p>
  <w:p w:rsidR="002614EB" w:rsidRDefault="002614EB">
    <w:pPr>
      <w:pStyle w:val="Rodap"/>
    </w:pPr>
  </w:p>
  <w:p w:rsidR="002614EB" w:rsidRDefault="002614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A3" w:rsidRDefault="002614EB">
      <w:r>
        <w:separator/>
      </w:r>
    </w:p>
  </w:footnote>
  <w:footnote w:type="continuationSeparator" w:id="0">
    <w:p w:rsidR="00001CA3" w:rsidRDefault="0026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8C" w:rsidRDefault="002614EB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59168" behindDoc="1" locked="0" layoutInCell="1" allowOverlap="1" wp14:anchorId="150AB615" wp14:editId="56F7F77A">
          <wp:simplePos x="0" y="0"/>
          <wp:positionH relativeFrom="page">
            <wp:posOffset>900430</wp:posOffset>
          </wp:positionH>
          <wp:positionV relativeFrom="page">
            <wp:posOffset>496569</wp:posOffset>
          </wp:positionV>
          <wp:extent cx="920750" cy="9328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750" cy="9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9680" behindDoc="1" locked="0" layoutInCell="1" allowOverlap="1" wp14:anchorId="01DDF7D7" wp14:editId="3B799187">
              <wp:simplePos x="0" y="0"/>
              <wp:positionH relativeFrom="page">
                <wp:posOffset>2102866</wp:posOffset>
              </wp:positionH>
              <wp:positionV relativeFrom="page">
                <wp:posOffset>721256</wp:posOffset>
              </wp:positionV>
              <wp:extent cx="1864360" cy="4857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4360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6F8C" w:rsidRDefault="002614EB">
                          <w:pPr>
                            <w:spacing w:before="9"/>
                            <w:ind w:left="20" w:right="18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Estado do Piauí Tribunal</w:t>
                          </w:r>
                          <w:r>
                            <w:rPr>
                              <w:rFonts w:ascii="Arial" w:hAnsi="Arial"/>
                              <w:b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Contas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5.6pt;margin-top:56.8pt;width:146.8pt;height:38.25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" filled="f" stroked="f">
              <v:path arrowok="t"/>
              <v:textbox inset="0,0,0,0">
                <w:txbxContent>
                  <w:p w:rsidR="00126F8C" w:rsidRDefault="002614EB">
                    <w:pPr>
                      <w:spacing w:before="9"/>
                      <w:ind w:left="20" w:right="18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Estado do Piauí Tribunal</w:t>
                    </w:r>
                    <w:r>
                      <w:rPr>
                        <w:rFonts w:ascii="Arial" w:hAnsi="Arial"/>
                        <w:b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Contas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26F8C"/>
    <w:rsid w:val="00001CA3"/>
    <w:rsid w:val="0003231F"/>
    <w:rsid w:val="00126F8C"/>
    <w:rsid w:val="002614EB"/>
    <w:rsid w:val="008B04DD"/>
    <w:rsid w:val="00C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9"/>
      <w:ind w:left="20" w:right="18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61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14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4EB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4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4EB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9"/>
      <w:ind w:left="20" w:right="18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61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14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4EB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4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4EB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Normal TCE-PI</vt:lpstr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Normal TCE-PI</dc:title>
  <dc:subject>Documento Padrão do TCE-PI</dc:subject>
  <dc:creator>DFAM5</dc:creator>
  <cp:lastModifiedBy>Yngrid Fernandes Nogueira de Sousa</cp:lastModifiedBy>
  <cp:revision>5</cp:revision>
  <cp:lastPrinted>2025-03-27T12:57:00Z</cp:lastPrinted>
  <dcterms:created xsi:type="dcterms:W3CDTF">2025-02-03T12:21:00Z</dcterms:created>
  <dcterms:modified xsi:type="dcterms:W3CDTF">2025-03-27T12:59:00Z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2010</vt:lpwstr>
  </property>
</Properties>
</file>