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AE" w:rsidRDefault="00651F3D">
      <w:pPr>
        <w:ind w:left="1" w:right="141"/>
        <w:jc w:val="center"/>
        <w:rPr>
          <w:b/>
          <w:sz w:val="24"/>
        </w:rPr>
      </w:pPr>
      <w:r>
        <w:rPr>
          <w:b/>
          <w:sz w:val="24"/>
        </w:rPr>
        <w:t>NOTA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03/2015</w:t>
      </w:r>
    </w:p>
    <w:p w:rsidR="00066DAE" w:rsidRDefault="00651F3D">
      <w:pPr>
        <w:spacing w:before="288"/>
        <w:ind w:left="6" w:right="141"/>
        <w:jc w:val="center"/>
        <w:rPr>
          <w:b/>
          <w:sz w:val="24"/>
        </w:rPr>
      </w:pPr>
      <w:r>
        <w:rPr>
          <w:b/>
          <w:sz w:val="24"/>
        </w:rPr>
        <w:t>Rotina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encerramento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exercício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Sistema Sagres-</w:t>
      </w:r>
      <w:r>
        <w:rPr>
          <w:b/>
          <w:spacing w:val="-2"/>
          <w:sz w:val="24"/>
        </w:rPr>
        <w:t>Contábil</w:t>
      </w:r>
    </w:p>
    <w:p w:rsidR="00066DAE" w:rsidRDefault="00066DAE">
      <w:pPr>
        <w:pStyle w:val="Corpodetexto"/>
        <w:rPr>
          <w:b/>
        </w:rPr>
      </w:pPr>
    </w:p>
    <w:p w:rsidR="00066DAE" w:rsidRDefault="00066DAE">
      <w:pPr>
        <w:pStyle w:val="Corpodetexto"/>
        <w:spacing w:before="144"/>
        <w:rPr>
          <w:b/>
        </w:rPr>
      </w:pPr>
    </w:p>
    <w:p w:rsidR="00066DAE" w:rsidRDefault="00651F3D">
      <w:pPr>
        <w:pStyle w:val="Corpodetexto"/>
        <w:spacing w:line="312" w:lineRule="auto"/>
        <w:ind w:left="143" w:right="277"/>
        <w:jc w:val="both"/>
      </w:pPr>
      <w:r>
        <w:t>O</w:t>
      </w:r>
      <w:r>
        <w:rPr>
          <w:spacing w:val="-1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Piauí,</w:t>
      </w:r>
      <w:r>
        <w:rPr>
          <w:spacing w:val="-2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 Diretoria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Fiscalização</w:t>
      </w:r>
      <w:r>
        <w:rPr>
          <w:spacing w:val="-3"/>
        </w:rPr>
        <w:t xml:space="preserve"> </w:t>
      </w:r>
      <w:r>
        <w:t>da Administração Municipal - DFAM</w:t>
      </w:r>
      <w:proofErr w:type="gramStart"/>
      <w:r>
        <w:t>, informa</w:t>
      </w:r>
      <w:proofErr w:type="gramEnd"/>
      <w:r>
        <w:t xml:space="preserve"> aos gestores, contadores e demais responsáveis pela Administração Municipal dos Poderes Executivo e Legislativo que a partir do exercício 2015, por ocasião do encerramento do exercício, observem as regras relacion</w:t>
      </w:r>
      <w:r>
        <w:t xml:space="preserve">adas à </w:t>
      </w:r>
      <w:r>
        <w:rPr>
          <w:u w:val="single"/>
        </w:rPr>
        <w:t>rotina de encerramento do exercício</w:t>
      </w:r>
      <w:r>
        <w:t xml:space="preserve"> que </w:t>
      </w:r>
      <w:r>
        <w:rPr>
          <w:spacing w:val="-2"/>
        </w:rPr>
        <w:t>seguem.</w:t>
      </w:r>
    </w:p>
    <w:p w:rsidR="00066DAE" w:rsidRDefault="00066DAE">
      <w:pPr>
        <w:pStyle w:val="Corpodetexto"/>
        <w:spacing w:before="89"/>
      </w:pPr>
    </w:p>
    <w:p w:rsidR="00066DAE" w:rsidRDefault="00651F3D">
      <w:pPr>
        <w:pStyle w:val="PargrafodaLista"/>
        <w:numPr>
          <w:ilvl w:val="0"/>
          <w:numId w:val="1"/>
        </w:numPr>
        <w:tabs>
          <w:tab w:val="left" w:pos="436"/>
        </w:tabs>
        <w:spacing w:line="312" w:lineRule="auto"/>
        <w:ind w:right="281" w:firstLine="0"/>
        <w:jc w:val="both"/>
        <w:rPr>
          <w:sz w:val="24"/>
        </w:rPr>
      </w:pPr>
      <w:r>
        <w:rPr>
          <w:sz w:val="24"/>
        </w:rPr>
        <w:t xml:space="preserve">Para determinar o resultado das </w:t>
      </w:r>
      <w:r>
        <w:rPr>
          <w:sz w:val="24"/>
          <w:u w:val="single"/>
        </w:rPr>
        <w:t>variações do patrimônio público</w:t>
      </w:r>
      <w:r>
        <w:rPr>
          <w:sz w:val="24"/>
        </w:rPr>
        <w:t xml:space="preserve"> ao final de um exercício financeiro e viabilizar o prosseguimento da execução orçamentária é necessário executar os procedimentos contáb</w:t>
      </w:r>
      <w:r>
        <w:rPr>
          <w:sz w:val="24"/>
        </w:rPr>
        <w:t>eis de encerramento do</w:t>
      </w:r>
      <w:r>
        <w:rPr>
          <w:spacing w:val="40"/>
          <w:sz w:val="24"/>
        </w:rPr>
        <w:t xml:space="preserve"> </w:t>
      </w:r>
      <w:r>
        <w:rPr>
          <w:sz w:val="24"/>
        </w:rPr>
        <w:t>exercício e subsequente abertura.</w:t>
      </w:r>
    </w:p>
    <w:p w:rsidR="00066DAE" w:rsidRDefault="00066DAE">
      <w:pPr>
        <w:pStyle w:val="Corpodetexto"/>
        <w:spacing w:before="86"/>
      </w:pPr>
    </w:p>
    <w:p w:rsidR="00066DAE" w:rsidRDefault="00651F3D">
      <w:pPr>
        <w:pStyle w:val="PargrafodaLista"/>
        <w:numPr>
          <w:ilvl w:val="0"/>
          <w:numId w:val="1"/>
        </w:numPr>
        <w:tabs>
          <w:tab w:val="left" w:pos="438"/>
        </w:tabs>
        <w:spacing w:line="312" w:lineRule="auto"/>
        <w:ind w:right="280" w:firstLine="0"/>
        <w:jc w:val="both"/>
        <w:rPr>
          <w:sz w:val="24"/>
        </w:rPr>
      </w:pPr>
      <w:r>
        <w:rPr>
          <w:sz w:val="24"/>
        </w:rPr>
        <w:t>Os procedimentos de encerramento do exercício no sistema Sagres-</w:t>
      </w:r>
      <w:proofErr w:type="gramStart"/>
      <w:r>
        <w:rPr>
          <w:sz w:val="24"/>
        </w:rPr>
        <w:t>Contábil praticados</w:t>
      </w:r>
      <w:proofErr w:type="gramEnd"/>
      <w:r>
        <w:rPr>
          <w:sz w:val="24"/>
        </w:rPr>
        <w:t xml:space="preserve"> pelos entes públicos deverão ser realizados por meio de </w:t>
      </w:r>
      <w:r>
        <w:rPr>
          <w:sz w:val="24"/>
          <w:u w:val="single"/>
        </w:rPr>
        <w:t>escrituração</w:t>
      </w:r>
      <w:r>
        <w:rPr>
          <w:sz w:val="24"/>
        </w:rPr>
        <w:t xml:space="preserve"> </w:t>
      </w:r>
      <w:r>
        <w:rPr>
          <w:sz w:val="24"/>
          <w:u w:val="single"/>
        </w:rPr>
        <w:t>contábil</w:t>
      </w:r>
      <w:r>
        <w:rPr>
          <w:sz w:val="24"/>
        </w:rPr>
        <w:t xml:space="preserve"> nos Movimentos 13 e 14.</w:t>
      </w:r>
    </w:p>
    <w:p w:rsidR="00066DAE" w:rsidRDefault="00066DAE">
      <w:pPr>
        <w:pStyle w:val="Corpodetexto"/>
        <w:spacing w:before="88"/>
      </w:pPr>
    </w:p>
    <w:p w:rsidR="00066DAE" w:rsidRDefault="00651F3D">
      <w:pPr>
        <w:pStyle w:val="PargrafodaLista"/>
        <w:numPr>
          <w:ilvl w:val="1"/>
          <w:numId w:val="1"/>
        </w:numPr>
        <w:tabs>
          <w:tab w:val="left" w:pos="657"/>
        </w:tabs>
        <w:spacing w:line="312" w:lineRule="auto"/>
        <w:ind w:right="282" w:firstLine="0"/>
        <w:rPr>
          <w:sz w:val="24"/>
        </w:rPr>
      </w:pPr>
      <w:r>
        <w:rPr>
          <w:sz w:val="24"/>
        </w:rPr>
        <w:t xml:space="preserve">Para tanto, serão realizados </w:t>
      </w:r>
      <w:r>
        <w:rPr>
          <w:sz w:val="24"/>
          <w:u w:val="single"/>
        </w:rPr>
        <w:t>ajustes</w:t>
      </w:r>
      <w:r>
        <w:rPr>
          <w:sz w:val="24"/>
        </w:rPr>
        <w:t xml:space="preserve"> e </w:t>
      </w:r>
      <w:r>
        <w:rPr>
          <w:sz w:val="24"/>
          <w:u w:val="single"/>
        </w:rPr>
        <w:t>encerramento de contas contábeis</w:t>
      </w:r>
      <w:r>
        <w:rPr>
          <w:spacing w:val="40"/>
          <w:sz w:val="24"/>
        </w:rPr>
        <w:t xml:space="preserve"> </w:t>
      </w:r>
      <w:r>
        <w:rPr>
          <w:sz w:val="24"/>
        </w:rPr>
        <w:t>com as finalidades de:</w:t>
      </w:r>
    </w:p>
    <w:p w:rsidR="00066DAE" w:rsidRDefault="00651F3D">
      <w:pPr>
        <w:pStyle w:val="PargrafodaLista"/>
        <w:numPr>
          <w:ilvl w:val="2"/>
          <w:numId w:val="1"/>
        </w:numPr>
        <w:tabs>
          <w:tab w:val="left" w:pos="862"/>
        </w:tabs>
        <w:spacing w:before="2"/>
        <w:ind w:left="862" w:right="0"/>
        <w:jc w:val="left"/>
        <w:rPr>
          <w:sz w:val="24"/>
        </w:rPr>
      </w:pPr>
      <w:r>
        <w:rPr>
          <w:sz w:val="24"/>
        </w:rPr>
        <w:t>Apurar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exercício;</w:t>
      </w:r>
    </w:p>
    <w:p w:rsidR="00066DAE" w:rsidRDefault="00651F3D">
      <w:pPr>
        <w:pStyle w:val="PargrafodaLista"/>
        <w:numPr>
          <w:ilvl w:val="2"/>
          <w:numId w:val="1"/>
        </w:numPr>
        <w:tabs>
          <w:tab w:val="left" w:pos="862"/>
        </w:tabs>
        <w:spacing w:before="83"/>
        <w:ind w:left="862" w:right="0"/>
        <w:jc w:val="left"/>
        <w:rPr>
          <w:sz w:val="24"/>
        </w:rPr>
      </w:pPr>
      <w:r>
        <w:rPr>
          <w:sz w:val="24"/>
        </w:rPr>
        <w:t>Propiciar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demonstrativos</w:t>
      </w:r>
      <w:r>
        <w:rPr>
          <w:spacing w:val="-2"/>
          <w:sz w:val="24"/>
        </w:rPr>
        <w:t xml:space="preserve"> contábeis;</w:t>
      </w:r>
    </w:p>
    <w:p w:rsidR="00066DAE" w:rsidRDefault="00651F3D">
      <w:pPr>
        <w:pStyle w:val="PargrafodaLista"/>
        <w:numPr>
          <w:ilvl w:val="2"/>
          <w:numId w:val="1"/>
        </w:numPr>
        <w:tabs>
          <w:tab w:val="left" w:pos="862"/>
        </w:tabs>
        <w:spacing w:before="85"/>
        <w:ind w:left="862" w:right="0"/>
        <w:jc w:val="left"/>
        <w:rPr>
          <w:sz w:val="24"/>
        </w:rPr>
      </w:pPr>
      <w:r>
        <w:rPr>
          <w:sz w:val="24"/>
        </w:rPr>
        <w:t>Preparar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exercício</w:t>
      </w:r>
      <w:r>
        <w:rPr>
          <w:spacing w:val="-2"/>
          <w:sz w:val="24"/>
        </w:rPr>
        <w:t xml:space="preserve"> seguinte.</w:t>
      </w:r>
    </w:p>
    <w:p w:rsidR="00066DAE" w:rsidRDefault="00066DAE">
      <w:pPr>
        <w:pStyle w:val="Corpodetexto"/>
        <w:spacing w:before="168"/>
      </w:pPr>
    </w:p>
    <w:p w:rsidR="00066DAE" w:rsidRDefault="00651F3D">
      <w:pPr>
        <w:pStyle w:val="PargrafodaLista"/>
        <w:numPr>
          <w:ilvl w:val="1"/>
          <w:numId w:val="1"/>
        </w:numPr>
        <w:tabs>
          <w:tab w:val="left" w:pos="657"/>
        </w:tabs>
        <w:spacing w:before="1" w:line="312" w:lineRule="auto"/>
        <w:ind w:right="281" w:firstLine="0"/>
        <w:jc w:val="both"/>
        <w:rPr>
          <w:sz w:val="24"/>
        </w:rPr>
      </w:pPr>
      <w:r>
        <w:rPr>
          <w:sz w:val="24"/>
        </w:rPr>
        <w:t>Os procedimen</w:t>
      </w:r>
      <w:r>
        <w:rPr>
          <w:sz w:val="24"/>
        </w:rPr>
        <w:t xml:space="preserve">tos de abertura do exercício correspondem a lançamentos contábeis no </w:t>
      </w:r>
      <w:r>
        <w:rPr>
          <w:b/>
          <w:sz w:val="24"/>
        </w:rPr>
        <w:t>Movimento 01 (M01)</w:t>
      </w:r>
      <w:r>
        <w:rPr>
          <w:sz w:val="24"/>
        </w:rPr>
        <w:t xml:space="preserve">, e deverão ser classificados no </w:t>
      </w:r>
      <w:r>
        <w:rPr>
          <w:sz w:val="24"/>
          <w:u w:val="single"/>
        </w:rPr>
        <w:t>Tipo de</w:t>
      </w:r>
      <w:r>
        <w:rPr>
          <w:sz w:val="24"/>
        </w:rPr>
        <w:t xml:space="preserve"> </w:t>
      </w:r>
      <w:r>
        <w:rPr>
          <w:sz w:val="24"/>
          <w:u w:val="single"/>
        </w:rPr>
        <w:t>Movimentação Contábil</w:t>
      </w:r>
      <w:r>
        <w:rPr>
          <w:sz w:val="24"/>
        </w:rPr>
        <w:t xml:space="preserve"> como </w:t>
      </w:r>
      <w:r>
        <w:rPr>
          <w:sz w:val="24"/>
          <w:u w:val="single"/>
        </w:rPr>
        <w:t>01 – Abertura do Exercício</w:t>
      </w:r>
      <w:r>
        <w:rPr>
          <w:sz w:val="24"/>
        </w:rPr>
        <w:t>.</w:t>
      </w:r>
    </w:p>
    <w:p w:rsidR="00066DAE" w:rsidRDefault="00066DAE">
      <w:pPr>
        <w:pStyle w:val="Corpodetexto"/>
        <w:spacing w:before="87"/>
      </w:pPr>
    </w:p>
    <w:p w:rsidR="00066DAE" w:rsidRDefault="00651F3D">
      <w:pPr>
        <w:pStyle w:val="PargrafodaLista"/>
        <w:numPr>
          <w:ilvl w:val="1"/>
          <w:numId w:val="1"/>
        </w:numPr>
        <w:tabs>
          <w:tab w:val="left" w:pos="657"/>
        </w:tabs>
        <w:spacing w:line="312" w:lineRule="auto"/>
        <w:ind w:right="288" w:firstLine="0"/>
        <w:rPr>
          <w:sz w:val="24"/>
        </w:rPr>
      </w:pPr>
      <w:r>
        <w:rPr>
          <w:sz w:val="24"/>
        </w:rPr>
        <w:t>Para fins</w:t>
      </w:r>
      <w:r>
        <w:rPr>
          <w:spacing w:val="30"/>
          <w:sz w:val="24"/>
        </w:rPr>
        <w:t xml:space="preserve"> </w:t>
      </w:r>
      <w:r>
        <w:rPr>
          <w:sz w:val="24"/>
        </w:rPr>
        <w:t>desta Nota</w:t>
      </w:r>
      <w:r>
        <w:rPr>
          <w:spacing w:val="30"/>
          <w:sz w:val="24"/>
        </w:rPr>
        <w:t xml:space="preserve"> </w:t>
      </w:r>
      <w:r>
        <w:rPr>
          <w:sz w:val="24"/>
        </w:rPr>
        <w:t>Técnica,</w:t>
      </w:r>
      <w:r>
        <w:rPr>
          <w:spacing w:val="29"/>
          <w:sz w:val="24"/>
        </w:rPr>
        <w:t xml:space="preserve"> </w:t>
      </w:r>
      <w:r>
        <w:rPr>
          <w:sz w:val="24"/>
        </w:rPr>
        <w:t>devem</w:t>
      </w:r>
      <w:r>
        <w:rPr>
          <w:spacing w:val="29"/>
          <w:sz w:val="24"/>
        </w:rPr>
        <w:t xml:space="preserve"> </w:t>
      </w:r>
      <w:r>
        <w:rPr>
          <w:sz w:val="24"/>
        </w:rPr>
        <w:t>ser</w:t>
      </w:r>
      <w:r>
        <w:rPr>
          <w:spacing w:val="29"/>
          <w:sz w:val="24"/>
        </w:rPr>
        <w:t xml:space="preserve"> </w:t>
      </w:r>
      <w:r>
        <w:rPr>
          <w:sz w:val="24"/>
        </w:rPr>
        <w:t>tomados</w:t>
      </w:r>
      <w:r>
        <w:rPr>
          <w:spacing w:val="30"/>
          <w:sz w:val="24"/>
        </w:rPr>
        <w:t xml:space="preserve"> </w:t>
      </w:r>
      <w:r>
        <w:rPr>
          <w:sz w:val="24"/>
        </w:rPr>
        <w:t>por base</w:t>
      </w:r>
      <w:r>
        <w:rPr>
          <w:spacing w:val="30"/>
          <w:sz w:val="24"/>
        </w:rPr>
        <w:t xml:space="preserve"> </w:t>
      </w:r>
      <w:r>
        <w:rPr>
          <w:sz w:val="24"/>
        </w:rPr>
        <w:t>os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seguintes </w:t>
      </w:r>
      <w:r>
        <w:rPr>
          <w:spacing w:val="-2"/>
          <w:sz w:val="24"/>
        </w:rPr>
        <w:t>conceitos:</w:t>
      </w:r>
    </w:p>
    <w:p w:rsidR="00066DAE" w:rsidRDefault="00651F3D">
      <w:pPr>
        <w:pStyle w:val="PargrafodaLista"/>
        <w:numPr>
          <w:ilvl w:val="2"/>
          <w:numId w:val="1"/>
        </w:numPr>
        <w:tabs>
          <w:tab w:val="left" w:pos="862"/>
        </w:tabs>
        <w:spacing w:before="76" w:line="312" w:lineRule="auto"/>
        <w:ind w:left="862"/>
        <w:rPr>
          <w:sz w:val="24"/>
        </w:rPr>
      </w:pPr>
      <w:r>
        <w:rPr>
          <w:b/>
          <w:sz w:val="24"/>
        </w:rPr>
        <w:t xml:space="preserve">Movimento 13 (M13) </w:t>
      </w:r>
      <w:r>
        <w:rPr>
          <w:sz w:val="24"/>
        </w:rPr>
        <w:t xml:space="preserve">– Ocorre em 31.12, após o processamento dos lançamentos de execução do orçamento do </w:t>
      </w:r>
      <w:r>
        <w:rPr>
          <w:b/>
          <w:sz w:val="24"/>
        </w:rPr>
        <w:t>Movimento 12 (M12)</w:t>
      </w:r>
      <w:r>
        <w:rPr>
          <w:sz w:val="24"/>
        </w:rPr>
        <w:t xml:space="preserve">. A partir do M13, não haverá lançamentos próprios da execução </w:t>
      </w:r>
      <w:r>
        <w:rPr>
          <w:sz w:val="24"/>
        </w:rPr>
        <w:lastRenderedPageBreak/>
        <w:t>orçamentária. Compreendem os procedimentos de</w:t>
      </w:r>
      <w:r>
        <w:rPr>
          <w:sz w:val="24"/>
        </w:rPr>
        <w:t xml:space="preserve"> conferência antes do encerramento, registros de encerramento parcial do exercício, dos quais os relativos ao controle orçamentário e restos a pagar (grupos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e 6), e emissão do Balanço Orçamentário, Financeiro e Demonstração das Variações Patrimoniais. No</w:t>
      </w:r>
      <w:r>
        <w:rPr>
          <w:sz w:val="24"/>
        </w:rPr>
        <w:t xml:space="preserve"> Plano de Contas TCE/PI, compreendem as contas </w:t>
      </w:r>
      <w:proofErr w:type="gramStart"/>
      <w:r>
        <w:rPr>
          <w:sz w:val="24"/>
        </w:rPr>
        <w:t>cuja</w:t>
      </w:r>
      <w:proofErr w:type="gramEnd"/>
    </w:p>
    <w:p w:rsidR="00066DAE" w:rsidRDefault="00651F3D">
      <w:pPr>
        <w:pStyle w:val="PargrafodaLista"/>
        <w:numPr>
          <w:ilvl w:val="2"/>
          <w:numId w:val="1"/>
        </w:numPr>
        <w:tabs>
          <w:tab w:val="left" w:pos="862"/>
        </w:tabs>
        <w:spacing w:line="312" w:lineRule="auto"/>
        <w:ind w:left="862" w:right="281"/>
        <w:rPr>
          <w:sz w:val="24"/>
        </w:rPr>
      </w:pPr>
      <w:r>
        <w:rPr>
          <w:b/>
          <w:sz w:val="24"/>
        </w:rPr>
        <w:t xml:space="preserve">Movimento 14 (M14) </w:t>
      </w:r>
      <w:r>
        <w:rPr>
          <w:sz w:val="24"/>
        </w:rPr>
        <w:t xml:space="preserve">– Ocorre em 31.12, após o processamento de todos os lançamentos do </w:t>
      </w:r>
      <w:r>
        <w:rPr>
          <w:b/>
          <w:sz w:val="24"/>
        </w:rPr>
        <w:t>M13</w:t>
      </w:r>
      <w:r>
        <w:rPr>
          <w:sz w:val="24"/>
        </w:rPr>
        <w:t xml:space="preserve">. É a rotina de encerramento para apuração do resultado patrimonial do exercício. São realizados os lançamentos de encerramento das Contas de Variações Patrimoniais Aumentativas e Diminutivas (grupos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e 4) e Contas de Controles Credores e Devedores, além </w:t>
      </w:r>
      <w:r>
        <w:rPr>
          <w:sz w:val="24"/>
        </w:rPr>
        <w:t>da emissão do Balanço Patrimonial.</w:t>
      </w:r>
    </w:p>
    <w:p w:rsidR="00066DAE" w:rsidRDefault="00651F3D">
      <w:pPr>
        <w:pStyle w:val="PargrafodaLista"/>
        <w:numPr>
          <w:ilvl w:val="2"/>
          <w:numId w:val="1"/>
        </w:numPr>
        <w:tabs>
          <w:tab w:val="left" w:pos="862"/>
        </w:tabs>
        <w:spacing w:line="312" w:lineRule="auto"/>
        <w:ind w:left="862"/>
        <w:rPr>
          <w:sz w:val="24"/>
        </w:rPr>
      </w:pPr>
      <w:r>
        <w:rPr>
          <w:b/>
          <w:sz w:val="24"/>
        </w:rPr>
        <w:t xml:space="preserve">Abertura do Exercício </w:t>
      </w:r>
      <w:r>
        <w:rPr>
          <w:sz w:val="24"/>
        </w:rPr>
        <w:t xml:space="preserve">– Ocorre em 01.01. É a rotina que viabiliza o prosseguimento da execução orçamentária. Neles </w:t>
      </w:r>
      <w:proofErr w:type="gramStart"/>
      <w:r>
        <w:rPr>
          <w:sz w:val="24"/>
        </w:rPr>
        <w:t>estão</w:t>
      </w:r>
      <w:proofErr w:type="gramEnd"/>
      <w:r>
        <w:rPr>
          <w:sz w:val="24"/>
        </w:rPr>
        <w:t xml:space="preserve"> compreendidos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a transferência de saldos das contas de Superávits ou Déficits do Exercício e Ajustes </w:t>
      </w:r>
      <w:r>
        <w:rPr>
          <w:sz w:val="24"/>
        </w:rPr>
        <w:t xml:space="preserve">de Exercícios Anteriores, transferência de saldos remanescentes das contas contábeis em 31.12 para 01.01, inscrição dos novos Restos a Pagar, além dos lançamentos de Previsão da Receita e Fixação da Despesa em conformidade com a Lei Orçamentária Anual </w:t>
      </w:r>
      <w:r>
        <w:rPr>
          <w:spacing w:val="-2"/>
          <w:sz w:val="24"/>
        </w:rPr>
        <w:t>(LOA</w:t>
      </w:r>
      <w:r>
        <w:rPr>
          <w:spacing w:val="-2"/>
          <w:sz w:val="24"/>
        </w:rPr>
        <w:t>).</w:t>
      </w:r>
    </w:p>
    <w:p w:rsidR="00066DAE" w:rsidRDefault="00066DAE">
      <w:pPr>
        <w:pStyle w:val="Corpodetexto"/>
        <w:spacing w:before="75"/>
      </w:pPr>
    </w:p>
    <w:p w:rsidR="00066DAE" w:rsidRDefault="00651F3D">
      <w:pPr>
        <w:pStyle w:val="PargrafodaLista"/>
        <w:numPr>
          <w:ilvl w:val="0"/>
          <w:numId w:val="1"/>
        </w:numPr>
        <w:tabs>
          <w:tab w:val="left" w:pos="522"/>
        </w:tabs>
        <w:spacing w:line="312" w:lineRule="auto"/>
        <w:ind w:firstLine="0"/>
        <w:jc w:val="both"/>
        <w:rPr>
          <w:sz w:val="24"/>
        </w:rPr>
      </w:pPr>
      <w:r>
        <w:rPr>
          <w:sz w:val="24"/>
        </w:rPr>
        <w:t xml:space="preserve">Não serão aceitos lançamentos de ajustes de execução orçamentária relativos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emissão ou anulação de empenhos, liquidação e pagamento de empenho, e respectivos estornos que envolvam estas operações. Tais movimentações fazem parte da execução do orçamen</w:t>
      </w:r>
      <w:r>
        <w:rPr>
          <w:sz w:val="24"/>
        </w:rPr>
        <w:t xml:space="preserve">to, e somente serão aceitas até o </w:t>
      </w:r>
      <w:r>
        <w:rPr>
          <w:b/>
          <w:sz w:val="24"/>
        </w:rPr>
        <w:t>M12</w:t>
      </w:r>
      <w:r>
        <w:rPr>
          <w:sz w:val="24"/>
        </w:rPr>
        <w:t>.</w:t>
      </w:r>
    </w:p>
    <w:p w:rsidR="00066DAE" w:rsidRDefault="00066DAE">
      <w:pPr>
        <w:pStyle w:val="Corpodetexto"/>
        <w:spacing w:before="86"/>
      </w:pPr>
    </w:p>
    <w:p w:rsidR="00066DAE" w:rsidRDefault="00651F3D">
      <w:pPr>
        <w:pStyle w:val="PargrafodaLista"/>
        <w:numPr>
          <w:ilvl w:val="0"/>
          <w:numId w:val="1"/>
        </w:numPr>
        <w:tabs>
          <w:tab w:val="left" w:pos="505"/>
        </w:tabs>
        <w:spacing w:line="312" w:lineRule="auto"/>
        <w:ind w:firstLine="0"/>
        <w:jc w:val="both"/>
        <w:rPr>
          <w:sz w:val="24"/>
        </w:rPr>
      </w:pPr>
      <w:r>
        <w:rPr>
          <w:sz w:val="24"/>
        </w:rPr>
        <w:t xml:space="preserve">Os dados do Poder </w:t>
      </w:r>
      <w:proofErr w:type="gramStart"/>
      <w:r>
        <w:rPr>
          <w:sz w:val="24"/>
        </w:rPr>
        <w:t>Legislativo relativos</w:t>
      </w:r>
      <w:proofErr w:type="gramEnd"/>
      <w:r>
        <w:rPr>
          <w:sz w:val="24"/>
        </w:rPr>
        <w:t xml:space="preserve"> ao </w:t>
      </w:r>
      <w:r>
        <w:rPr>
          <w:b/>
          <w:sz w:val="24"/>
        </w:rPr>
        <w:t xml:space="preserve">M13 </w:t>
      </w:r>
      <w:r>
        <w:rPr>
          <w:sz w:val="24"/>
        </w:rPr>
        <w:t xml:space="preserve">e </w:t>
      </w:r>
      <w:r>
        <w:rPr>
          <w:b/>
          <w:sz w:val="24"/>
        </w:rPr>
        <w:t xml:space="preserve">M14 </w:t>
      </w:r>
      <w:r>
        <w:rPr>
          <w:sz w:val="24"/>
        </w:rPr>
        <w:t>deverão ser encaminhados ao Poder Executivo em tempo hábil para que o mesmo proceda</w:t>
      </w:r>
      <w:r>
        <w:rPr>
          <w:spacing w:val="40"/>
          <w:sz w:val="24"/>
        </w:rPr>
        <w:t xml:space="preserve"> </w:t>
      </w:r>
      <w:r>
        <w:rPr>
          <w:sz w:val="24"/>
        </w:rPr>
        <w:t>a incorporação dessas informações para fim de envio consolidado ao Tribunal, de</w:t>
      </w:r>
      <w:r>
        <w:rPr>
          <w:sz w:val="24"/>
        </w:rPr>
        <w:t xml:space="preserve">sobrigando as Câmaras do envio ao Tribunal de Contas dos referidos </w:t>
      </w:r>
      <w:r>
        <w:rPr>
          <w:spacing w:val="-2"/>
          <w:sz w:val="24"/>
        </w:rPr>
        <w:t>movimentos.</w:t>
      </w:r>
    </w:p>
    <w:p w:rsidR="00066DAE" w:rsidRDefault="00651F3D">
      <w:pPr>
        <w:pStyle w:val="PargrafodaLista"/>
        <w:numPr>
          <w:ilvl w:val="0"/>
          <w:numId w:val="1"/>
        </w:numPr>
        <w:tabs>
          <w:tab w:val="left" w:pos="527"/>
        </w:tabs>
        <w:spacing w:before="75" w:after="4" w:line="312" w:lineRule="auto"/>
        <w:ind w:right="280" w:firstLine="0"/>
        <w:jc w:val="both"/>
        <w:rPr>
          <w:sz w:val="24"/>
        </w:rPr>
      </w:pPr>
      <w:r>
        <w:rPr>
          <w:sz w:val="24"/>
        </w:rPr>
        <w:t xml:space="preserve">O detalhamento dos lançamentos contábeis não se aplica às contas contábeis com conta corrente </w:t>
      </w:r>
      <w:r>
        <w:rPr>
          <w:sz w:val="24"/>
          <w:u w:val="single"/>
        </w:rPr>
        <w:t>Conta Genérica (21)</w:t>
      </w:r>
      <w:r>
        <w:rPr>
          <w:sz w:val="24"/>
        </w:rPr>
        <w:t>. Para as demais contas contábeis escrituráveis, a</w:t>
      </w:r>
      <w:r>
        <w:rPr>
          <w:sz w:val="24"/>
        </w:rPr>
        <w:t xml:space="preserve"> informação sobre a obrigatoriedade de detalhamento, </w:t>
      </w:r>
      <w:r>
        <w:rPr>
          <w:sz w:val="24"/>
        </w:rPr>
        <w:lastRenderedPageBreak/>
        <w:t>antes disponível nas colunas de Detalhamento da Abertura e Detalhamento do Encerramento, deverá ser prestada conforme tabela abaixo:</w:t>
      </w: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2559"/>
        <w:gridCol w:w="2876"/>
      </w:tblGrid>
      <w:tr w:rsidR="00066DAE">
        <w:trPr>
          <w:trHeight w:val="481"/>
        </w:trPr>
        <w:tc>
          <w:tcPr>
            <w:tcW w:w="3212" w:type="dxa"/>
            <w:shd w:val="clear" w:color="auto" w:fill="D9D9D9"/>
          </w:tcPr>
          <w:p w:rsidR="00066DAE" w:rsidRDefault="00651F3D">
            <w:pPr>
              <w:pStyle w:val="TableParagraph"/>
              <w:spacing w:line="242" w:lineRule="exact"/>
              <w:ind w:left="227" w:hanging="87"/>
              <w:rPr>
                <w:b/>
                <w:sz w:val="20"/>
              </w:rPr>
            </w:pPr>
            <w:r>
              <w:rPr>
                <w:b/>
                <w:sz w:val="20"/>
              </w:rPr>
              <w:t>Movimento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Encerra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 Conta Contábil no Exercício</w:t>
            </w:r>
          </w:p>
        </w:tc>
        <w:tc>
          <w:tcPr>
            <w:tcW w:w="2559" w:type="dxa"/>
            <w:shd w:val="clear" w:color="auto" w:fill="D9D9D9"/>
          </w:tcPr>
          <w:p w:rsidR="00066DAE" w:rsidRDefault="00651F3D">
            <w:pPr>
              <w:pStyle w:val="TableParagraph"/>
              <w:spacing w:line="242" w:lineRule="exact"/>
              <w:ind w:left="234" w:right="84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Detalhamento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Conta Contábil na Abertura</w:t>
            </w:r>
          </w:p>
        </w:tc>
        <w:tc>
          <w:tcPr>
            <w:tcW w:w="2876" w:type="dxa"/>
            <w:shd w:val="clear" w:color="auto" w:fill="D9D9D9"/>
          </w:tcPr>
          <w:p w:rsidR="00066DAE" w:rsidRDefault="00651F3D">
            <w:pPr>
              <w:pStyle w:val="TableParagraph"/>
              <w:spacing w:line="242" w:lineRule="exact"/>
              <w:ind w:left="97" w:firstLine="151"/>
              <w:rPr>
                <w:b/>
                <w:sz w:val="20"/>
              </w:rPr>
            </w:pPr>
            <w:r>
              <w:rPr>
                <w:b/>
                <w:sz w:val="20"/>
              </w:rPr>
              <w:t>Detalhamento da Conta Contábil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Encerramento</w:t>
            </w:r>
          </w:p>
        </w:tc>
      </w:tr>
      <w:tr w:rsidR="00066DAE">
        <w:trPr>
          <w:trHeight w:val="319"/>
        </w:trPr>
        <w:tc>
          <w:tcPr>
            <w:tcW w:w="3212" w:type="dxa"/>
          </w:tcPr>
          <w:p w:rsidR="00066DAE" w:rsidRDefault="00651F3D">
            <w:pPr>
              <w:pStyle w:val="TableParagraph"/>
              <w:spacing w:before="76"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NENC</w:t>
            </w:r>
          </w:p>
        </w:tc>
        <w:tc>
          <w:tcPr>
            <w:tcW w:w="2559" w:type="dxa"/>
          </w:tcPr>
          <w:p w:rsidR="00066DAE" w:rsidRDefault="00651F3D">
            <w:pPr>
              <w:pStyle w:val="TableParagraph"/>
              <w:spacing w:before="76"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876" w:type="dxa"/>
          </w:tcPr>
          <w:p w:rsidR="00066DAE" w:rsidRDefault="00651F3D">
            <w:pPr>
              <w:pStyle w:val="TableParagraph"/>
              <w:spacing w:before="76" w:line="223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</w:tr>
      <w:tr w:rsidR="00066DAE">
        <w:trPr>
          <w:trHeight w:val="318"/>
        </w:trPr>
        <w:tc>
          <w:tcPr>
            <w:tcW w:w="3212" w:type="dxa"/>
          </w:tcPr>
          <w:p w:rsidR="00066DAE" w:rsidRDefault="00651F3D">
            <w:pPr>
              <w:pStyle w:val="TableParagraph"/>
              <w:spacing w:before="78" w:line="221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M13</w:t>
            </w:r>
          </w:p>
        </w:tc>
        <w:tc>
          <w:tcPr>
            <w:tcW w:w="2559" w:type="dxa"/>
          </w:tcPr>
          <w:p w:rsidR="00066DAE" w:rsidRDefault="00651F3D">
            <w:pPr>
              <w:pStyle w:val="TableParagraph"/>
              <w:spacing w:before="78" w:line="221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876" w:type="dxa"/>
          </w:tcPr>
          <w:p w:rsidR="00066DAE" w:rsidRDefault="00651F3D">
            <w:pPr>
              <w:pStyle w:val="TableParagraph"/>
              <w:spacing w:before="78" w:line="221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</w:tr>
      <w:tr w:rsidR="00066DAE">
        <w:trPr>
          <w:trHeight w:val="321"/>
        </w:trPr>
        <w:tc>
          <w:tcPr>
            <w:tcW w:w="3212" w:type="dxa"/>
          </w:tcPr>
          <w:p w:rsidR="00066DAE" w:rsidRDefault="00651F3D">
            <w:pPr>
              <w:pStyle w:val="TableParagraph"/>
              <w:spacing w:before="78" w:line="223" w:lineRule="exact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M14</w:t>
            </w:r>
          </w:p>
        </w:tc>
        <w:tc>
          <w:tcPr>
            <w:tcW w:w="2559" w:type="dxa"/>
          </w:tcPr>
          <w:p w:rsidR="00066DAE" w:rsidRDefault="00651F3D">
            <w:pPr>
              <w:pStyle w:val="TableParagraph"/>
              <w:spacing w:before="78" w:line="223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2876" w:type="dxa"/>
          </w:tcPr>
          <w:p w:rsidR="00066DAE" w:rsidRDefault="00651F3D">
            <w:pPr>
              <w:pStyle w:val="TableParagraph"/>
              <w:spacing w:before="78" w:line="223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</w:tr>
    </w:tbl>
    <w:p w:rsidR="00066DAE" w:rsidRDefault="00066DAE">
      <w:pPr>
        <w:pStyle w:val="Corpodetexto"/>
        <w:spacing w:before="144"/>
      </w:pPr>
    </w:p>
    <w:p w:rsidR="00066DAE" w:rsidRDefault="00651F3D">
      <w:pPr>
        <w:pStyle w:val="PargrafodaLista"/>
        <w:numPr>
          <w:ilvl w:val="0"/>
          <w:numId w:val="1"/>
        </w:numPr>
        <w:tabs>
          <w:tab w:val="left" w:pos="426"/>
        </w:tabs>
        <w:spacing w:line="312" w:lineRule="auto"/>
        <w:ind w:right="278" w:firstLine="0"/>
        <w:jc w:val="both"/>
        <w:rPr>
          <w:sz w:val="24"/>
        </w:rPr>
      </w:pPr>
      <w:proofErr w:type="gramStart"/>
      <w:r>
        <w:rPr>
          <w:sz w:val="24"/>
        </w:rPr>
        <w:t>A relação das Contas Contábeis que deverão ser encerradas e seu respectivo movimento está</w:t>
      </w:r>
      <w:proofErr w:type="gramEnd"/>
      <w:r>
        <w:rPr>
          <w:sz w:val="24"/>
        </w:rPr>
        <w:t xml:space="preserve"> detalhada no Plano de Contas a ser utilizado pelos Municípios do Estado do Piauí, publicado e disponibilizado em 21.12.2015 no endereço eletrônico desta Corte.</w:t>
      </w:r>
    </w:p>
    <w:p w:rsidR="00066DAE" w:rsidRDefault="00066DAE">
      <w:pPr>
        <w:pStyle w:val="Corpodetexto"/>
        <w:spacing w:before="88"/>
      </w:pPr>
    </w:p>
    <w:p w:rsidR="00066DAE" w:rsidRDefault="00651F3D">
      <w:pPr>
        <w:pStyle w:val="PargrafodaLista"/>
        <w:numPr>
          <w:ilvl w:val="0"/>
          <w:numId w:val="1"/>
        </w:numPr>
        <w:tabs>
          <w:tab w:val="left" w:pos="498"/>
        </w:tabs>
        <w:spacing w:line="312" w:lineRule="auto"/>
        <w:ind w:right="283" w:firstLine="0"/>
        <w:jc w:val="both"/>
        <w:rPr>
          <w:sz w:val="24"/>
        </w:rPr>
      </w:pPr>
      <w:r>
        <w:rPr>
          <w:sz w:val="24"/>
        </w:rPr>
        <w:t>As De</w:t>
      </w:r>
      <w:r>
        <w:rPr>
          <w:sz w:val="24"/>
        </w:rPr>
        <w:t xml:space="preserve">monstrações Contábeis serão geradas com base nas informações prestadas por meio do SAGRES-Contábil e deverão coincidir com as respectivas demonstrações contábeis publicadas e enviadas pelo sistema Documentação Web, </w:t>
      </w:r>
      <w:proofErr w:type="gramStart"/>
      <w:r>
        <w:rPr>
          <w:sz w:val="24"/>
        </w:rPr>
        <w:t>sob pena</w:t>
      </w:r>
      <w:proofErr w:type="gramEnd"/>
      <w:r>
        <w:rPr>
          <w:sz w:val="24"/>
        </w:rPr>
        <w:t xml:space="preserve"> de rejeição das peças ou necessi</w:t>
      </w:r>
      <w:r>
        <w:rPr>
          <w:sz w:val="24"/>
        </w:rPr>
        <w:t>dade de reenvio dos dados eletrônicos, com aplicação das sanções legais, caso expirado o prazo de envio de acordo com a Resolução TCE nº 09/14.</w:t>
      </w:r>
    </w:p>
    <w:p w:rsidR="00066DAE" w:rsidRDefault="00066DAE">
      <w:pPr>
        <w:pStyle w:val="Corpodetexto"/>
        <w:spacing w:before="86"/>
      </w:pPr>
    </w:p>
    <w:p w:rsidR="00066DAE" w:rsidRDefault="00651F3D">
      <w:pPr>
        <w:pStyle w:val="PargrafodaLista"/>
        <w:numPr>
          <w:ilvl w:val="0"/>
          <w:numId w:val="1"/>
        </w:numPr>
        <w:tabs>
          <w:tab w:val="left" w:pos="474"/>
        </w:tabs>
        <w:spacing w:before="1" w:line="312" w:lineRule="auto"/>
        <w:ind w:firstLine="0"/>
        <w:jc w:val="both"/>
        <w:rPr>
          <w:sz w:val="24"/>
        </w:rPr>
      </w:pPr>
      <w:r>
        <w:rPr>
          <w:sz w:val="24"/>
        </w:rPr>
        <w:t>Segue em anexo quadro sintético dos procedimentos de encerramento e abertura do exercício que deverão ser obser</w:t>
      </w:r>
      <w:r>
        <w:rPr>
          <w:sz w:val="24"/>
        </w:rPr>
        <w:t>vados pelos entes públicos.</w:t>
      </w:r>
    </w:p>
    <w:p w:rsidR="00066DAE" w:rsidRDefault="00066DAE">
      <w:pPr>
        <w:pStyle w:val="Corpodetexto"/>
      </w:pPr>
    </w:p>
    <w:p w:rsidR="00066DAE" w:rsidRDefault="00066DAE">
      <w:pPr>
        <w:pStyle w:val="Corpodetexto"/>
        <w:spacing w:before="175"/>
      </w:pPr>
    </w:p>
    <w:p w:rsidR="00066DAE" w:rsidRDefault="00651F3D">
      <w:pPr>
        <w:pStyle w:val="Corpodetexto"/>
        <w:ind w:left="4" w:right="141"/>
        <w:jc w:val="center"/>
      </w:pPr>
      <w:r>
        <w:t>Tribunal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Piauí</w:t>
      </w:r>
      <w:r>
        <w:rPr>
          <w:spacing w:val="1"/>
        </w:rPr>
        <w:t xml:space="preserve"> </w:t>
      </w:r>
      <w:r>
        <w:t>em</w:t>
      </w:r>
      <w:r>
        <w:rPr>
          <w:spacing w:val="-3"/>
        </w:rPr>
        <w:t xml:space="preserve"> </w:t>
      </w:r>
      <w:proofErr w:type="gramStart"/>
      <w:r>
        <w:t>Teresina(</w:t>
      </w:r>
      <w:proofErr w:type="gramEnd"/>
      <w:r>
        <w:t>Pi),</w:t>
      </w:r>
      <w:r>
        <w:rPr>
          <w:spacing w:val="-4"/>
        </w:rPr>
        <w:t xml:space="preserve"> </w:t>
      </w:r>
      <w:r>
        <w:rPr>
          <w:spacing w:val="-2"/>
        </w:rPr>
        <w:t>21/12/2015.</w:t>
      </w:r>
    </w:p>
    <w:p w:rsidR="00066DAE" w:rsidRDefault="00066DAE">
      <w:pPr>
        <w:pStyle w:val="Corpodetexto"/>
      </w:pPr>
    </w:p>
    <w:p w:rsidR="00066DAE" w:rsidRDefault="00066DAE">
      <w:pPr>
        <w:pStyle w:val="Corpodetexto"/>
        <w:spacing w:before="259"/>
      </w:pPr>
    </w:p>
    <w:p w:rsidR="00066DAE" w:rsidRDefault="00651F3D">
      <w:pPr>
        <w:spacing w:line="312" w:lineRule="auto"/>
        <w:ind w:left="2337" w:right="2318" w:firstLine="710"/>
        <w:rPr>
          <w:b/>
          <w:sz w:val="24"/>
        </w:rPr>
      </w:pPr>
      <w:r>
        <w:rPr>
          <w:b/>
          <w:sz w:val="24"/>
        </w:rPr>
        <w:t>Vilmar Barros Miranda Auditor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Controle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Externo</w:t>
      </w:r>
    </w:p>
    <w:p w:rsidR="00066DAE" w:rsidRDefault="00651F3D">
      <w:pPr>
        <w:ind w:right="141"/>
        <w:jc w:val="center"/>
        <w:rPr>
          <w:b/>
          <w:sz w:val="24"/>
        </w:rPr>
      </w:pPr>
      <w:r>
        <w:rPr>
          <w:b/>
          <w:sz w:val="24"/>
        </w:rPr>
        <w:t>Diretor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DFAM</w:t>
      </w:r>
    </w:p>
    <w:p w:rsidR="00066DAE" w:rsidRDefault="00651F3D">
      <w:pPr>
        <w:spacing w:before="87"/>
        <w:ind w:left="1" w:right="14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Diretoria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Fiscalização 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-2"/>
          <w:sz w:val="24"/>
        </w:rPr>
        <w:t xml:space="preserve"> Municipal</w:t>
      </w:r>
    </w:p>
    <w:p w:rsidR="00066DAE" w:rsidRDefault="00066DAE">
      <w:pPr>
        <w:jc w:val="center"/>
        <w:rPr>
          <w:b/>
          <w:sz w:val="24"/>
        </w:rPr>
        <w:sectPr w:rsidR="00066DAE">
          <w:headerReference w:type="default" r:id="rId8"/>
          <w:footerReference w:type="default" r:id="rId9"/>
          <w:pgSz w:w="11910" w:h="16840"/>
          <w:pgMar w:top="1320" w:right="1417" w:bottom="280" w:left="1559" w:header="720" w:footer="720" w:gutter="0"/>
          <w:cols w:space="720"/>
        </w:sectPr>
      </w:pPr>
    </w:p>
    <w:p w:rsidR="00066DAE" w:rsidRDefault="00651F3D">
      <w:pPr>
        <w:spacing w:before="78"/>
        <w:ind w:right="14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ANEXO</w:t>
      </w:r>
    </w:p>
    <w:p w:rsidR="00066DAE" w:rsidRDefault="00066DAE">
      <w:pPr>
        <w:pStyle w:val="Corpodetexto"/>
        <w:rPr>
          <w:b/>
        </w:rPr>
      </w:pPr>
    </w:p>
    <w:p w:rsidR="00066DAE" w:rsidRDefault="00651F3D">
      <w:pPr>
        <w:spacing w:line="360" w:lineRule="auto"/>
        <w:ind w:right="141"/>
        <w:jc w:val="center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sintético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procedimentos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encerramento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abertura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do </w:t>
      </w:r>
      <w:r>
        <w:rPr>
          <w:b/>
          <w:spacing w:val="-2"/>
          <w:sz w:val="24"/>
        </w:rPr>
        <w:t>exercício</w:t>
      </w:r>
    </w:p>
    <w:p w:rsidR="00066DAE" w:rsidRDefault="00066DAE">
      <w:pPr>
        <w:pStyle w:val="Corpodetexto"/>
        <w:spacing w:before="128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964"/>
        <w:gridCol w:w="2272"/>
        <w:gridCol w:w="5152"/>
      </w:tblGrid>
      <w:tr w:rsidR="00066DAE">
        <w:trPr>
          <w:trHeight w:val="318"/>
        </w:trPr>
        <w:tc>
          <w:tcPr>
            <w:tcW w:w="259" w:type="dxa"/>
            <w:shd w:val="clear" w:color="auto" w:fill="BEBEBE"/>
          </w:tcPr>
          <w:p w:rsidR="00066DAE" w:rsidRDefault="00651F3D">
            <w:pPr>
              <w:pStyle w:val="TableParagraph"/>
              <w:spacing w:before="78" w:line="221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964" w:type="dxa"/>
            <w:shd w:val="clear" w:color="auto" w:fill="BEBEBE"/>
          </w:tcPr>
          <w:p w:rsidR="00066DAE" w:rsidRDefault="00651F3D">
            <w:pPr>
              <w:pStyle w:val="TableParagraph"/>
              <w:spacing w:before="37"/>
              <w:ind w:left="23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2272" w:type="dxa"/>
            <w:shd w:val="clear" w:color="auto" w:fill="BEBEBE"/>
          </w:tcPr>
          <w:p w:rsidR="00066DAE" w:rsidRDefault="00651F3D">
            <w:pPr>
              <w:pStyle w:val="TableParagraph"/>
              <w:spacing w:before="78" w:line="221" w:lineRule="exact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Ação</w:t>
            </w:r>
          </w:p>
        </w:tc>
        <w:tc>
          <w:tcPr>
            <w:tcW w:w="5152" w:type="dxa"/>
            <w:shd w:val="clear" w:color="auto" w:fill="BEBEBE"/>
          </w:tcPr>
          <w:p w:rsidR="00066DAE" w:rsidRDefault="00651F3D">
            <w:pPr>
              <w:pStyle w:val="TableParagraph"/>
              <w:spacing w:before="78" w:line="221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Detalhamento</w:t>
            </w:r>
          </w:p>
        </w:tc>
      </w:tr>
      <w:tr w:rsidR="00066DAE">
        <w:trPr>
          <w:trHeight w:val="484"/>
        </w:trPr>
        <w:tc>
          <w:tcPr>
            <w:tcW w:w="259" w:type="dxa"/>
          </w:tcPr>
          <w:p w:rsidR="00066DAE" w:rsidRDefault="00651F3D">
            <w:pPr>
              <w:pStyle w:val="TableParagraph"/>
              <w:spacing w:before="121"/>
              <w:ind w:left="1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10"/>
                <w:sz w:val="20"/>
              </w:rPr>
              <w:t>1</w:t>
            </w:r>
            <w:proofErr w:type="gramEnd"/>
          </w:p>
        </w:tc>
        <w:tc>
          <w:tcPr>
            <w:tcW w:w="964" w:type="dxa"/>
          </w:tcPr>
          <w:p w:rsidR="00066DAE" w:rsidRDefault="00651F3D">
            <w:pPr>
              <w:pStyle w:val="TableParagraph"/>
              <w:spacing w:line="242" w:lineRule="exact"/>
              <w:ind w:left="86" w:right="80" w:firstLine="252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até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31.12.X1</w:t>
            </w:r>
          </w:p>
        </w:tc>
        <w:tc>
          <w:tcPr>
            <w:tcW w:w="2272" w:type="dxa"/>
            <w:shd w:val="clear" w:color="auto" w:fill="D9D9D9"/>
          </w:tcPr>
          <w:p w:rsidR="00066DAE" w:rsidRDefault="00651F3D">
            <w:pPr>
              <w:pStyle w:val="TableParagraph"/>
              <w:spacing w:before="121"/>
              <w:ind w:left="641"/>
              <w:rPr>
                <w:b/>
                <w:sz w:val="20"/>
              </w:rPr>
            </w:pPr>
            <w:r>
              <w:rPr>
                <w:b/>
                <w:sz w:val="20"/>
              </w:rPr>
              <w:t>M1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M12</w:t>
            </w:r>
          </w:p>
        </w:tc>
        <w:tc>
          <w:tcPr>
            <w:tcW w:w="5152" w:type="dxa"/>
            <w:shd w:val="clear" w:color="auto" w:fill="D9D9D9"/>
          </w:tcPr>
          <w:p w:rsidR="00066DAE" w:rsidRDefault="00651F3D">
            <w:pPr>
              <w:pStyle w:val="TableParagraph"/>
              <w:spacing w:before="121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Execução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orçamento</w:t>
            </w:r>
          </w:p>
        </w:tc>
      </w:tr>
      <w:tr w:rsidR="00066DAE">
        <w:trPr>
          <w:trHeight w:val="318"/>
        </w:trPr>
        <w:tc>
          <w:tcPr>
            <w:tcW w:w="259" w:type="dxa"/>
            <w:vMerge w:val="restart"/>
          </w:tcPr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spacing w:before="177"/>
              <w:rPr>
                <w:b/>
                <w:sz w:val="20"/>
              </w:rPr>
            </w:pPr>
          </w:p>
          <w:p w:rsidR="00066DAE" w:rsidRDefault="00651F3D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proofErr w:type="gramStart"/>
            <w:r>
              <w:rPr>
                <w:b/>
                <w:spacing w:val="-10"/>
                <w:sz w:val="20"/>
              </w:rPr>
              <w:t>2</w:t>
            </w:r>
            <w:proofErr w:type="gramEnd"/>
          </w:p>
        </w:tc>
        <w:tc>
          <w:tcPr>
            <w:tcW w:w="964" w:type="dxa"/>
            <w:vMerge w:val="restart"/>
          </w:tcPr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spacing w:before="55"/>
              <w:rPr>
                <w:b/>
                <w:sz w:val="20"/>
              </w:rPr>
            </w:pPr>
          </w:p>
          <w:p w:rsidR="00066DAE" w:rsidRDefault="00651F3D">
            <w:pPr>
              <w:pStyle w:val="TableParagraph"/>
              <w:ind w:left="86" w:right="80" w:firstLine="254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em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31.12.X1</w:t>
            </w:r>
          </w:p>
        </w:tc>
        <w:tc>
          <w:tcPr>
            <w:tcW w:w="2272" w:type="dxa"/>
            <w:vMerge w:val="restart"/>
            <w:shd w:val="clear" w:color="auto" w:fill="D9D9D9"/>
          </w:tcPr>
          <w:p w:rsidR="00066DAE" w:rsidRDefault="00066DAE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066DAE" w:rsidRDefault="00651F3D">
            <w:pPr>
              <w:pStyle w:val="TableParagraph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M13</w:t>
            </w:r>
          </w:p>
        </w:tc>
        <w:tc>
          <w:tcPr>
            <w:tcW w:w="5152" w:type="dxa"/>
            <w:shd w:val="clear" w:color="auto" w:fill="D9D9D9"/>
          </w:tcPr>
          <w:p w:rsidR="00066DAE" w:rsidRDefault="00651F3D">
            <w:pPr>
              <w:pStyle w:val="TableParagraph"/>
              <w:spacing w:before="3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Preparação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rotina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encerramento</w:t>
            </w:r>
          </w:p>
        </w:tc>
      </w:tr>
      <w:tr w:rsidR="00066DAE">
        <w:trPr>
          <w:trHeight w:val="482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  <w:shd w:val="clear" w:color="auto" w:fill="D9D9D9"/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shd w:val="clear" w:color="auto" w:fill="D9D9D9"/>
          </w:tcPr>
          <w:p w:rsidR="00066DAE" w:rsidRDefault="00651F3D">
            <w:pPr>
              <w:pStyle w:val="TableParagraph"/>
              <w:spacing w:line="244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Encerramento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Controle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 Restos a Pagar (</w:t>
            </w:r>
            <w:proofErr w:type="gramStart"/>
            <w:r>
              <w:rPr>
                <w:b/>
                <w:sz w:val="20"/>
              </w:rPr>
              <w:t>5</w:t>
            </w:r>
            <w:proofErr w:type="gramEnd"/>
            <w:r>
              <w:rPr>
                <w:b/>
                <w:sz w:val="20"/>
              </w:rPr>
              <w:t xml:space="preserve"> e 6)</w:t>
            </w:r>
          </w:p>
        </w:tc>
      </w:tr>
      <w:tr w:rsidR="00066DAE">
        <w:trPr>
          <w:trHeight w:val="316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 w:val="restart"/>
          </w:tcPr>
          <w:p w:rsidR="00066DAE" w:rsidRDefault="00066DAE">
            <w:pPr>
              <w:pStyle w:val="TableParagraph"/>
              <w:spacing w:before="176"/>
              <w:rPr>
                <w:b/>
                <w:sz w:val="20"/>
              </w:rPr>
            </w:pPr>
          </w:p>
          <w:p w:rsidR="00066DAE" w:rsidRDefault="00651F3D">
            <w:pPr>
              <w:pStyle w:val="TableParagraph"/>
              <w:spacing w:before="1" w:line="241" w:lineRule="exact"/>
              <w:ind w:right="64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Conferência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066DAE" w:rsidRDefault="00651F3D">
            <w:pPr>
              <w:pStyle w:val="TableParagraph"/>
              <w:spacing w:line="241" w:lineRule="exact"/>
              <w:ind w:right="62"/>
              <w:jc w:val="righ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saldo</w:t>
            </w:r>
            <w:proofErr w:type="gramEnd"/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34"/>
              <w:ind w:left="64"/>
              <w:rPr>
                <w:sz w:val="20"/>
              </w:rPr>
            </w:pPr>
            <w:r>
              <w:rPr>
                <w:sz w:val="20"/>
              </w:rPr>
              <w:t>Conta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2.3.7.1.1.01.00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0"/>
                <w:sz w:val="20"/>
              </w:rPr>
              <w:t xml:space="preserve"> 0</w:t>
            </w:r>
          </w:p>
        </w:tc>
      </w:tr>
      <w:tr w:rsidR="00066DAE">
        <w:trPr>
          <w:trHeight w:val="318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39"/>
              <w:ind w:left="64"/>
              <w:rPr>
                <w:sz w:val="20"/>
              </w:rPr>
            </w:pPr>
            <w:r>
              <w:rPr>
                <w:sz w:val="20"/>
              </w:rPr>
              <w:t>Conta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5.2.2.1.3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0</w:t>
            </w:r>
          </w:p>
        </w:tc>
      </w:tr>
      <w:tr w:rsidR="00066DAE">
        <w:trPr>
          <w:trHeight w:val="337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49"/>
              <w:ind w:left="64"/>
              <w:rPr>
                <w:sz w:val="20"/>
              </w:rPr>
            </w:pPr>
            <w:r>
              <w:rPr>
                <w:sz w:val="20"/>
              </w:rPr>
              <w:t>Contas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6.3</w:t>
            </w:r>
          </w:p>
        </w:tc>
      </w:tr>
      <w:tr w:rsidR="00066DAE">
        <w:trPr>
          <w:trHeight w:val="321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39"/>
              <w:ind w:left="64"/>
              <w:rPr>
                <w:sz w:val="20"/>
              </w:rPr>
            </w:pPr>
            <w:r>
              <w:rPr>
                <w:sz w:val="20"/>
              </w:rPr>
              <w:t>Contas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7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8)</w:t>
            </w:r>
          </w:p>
        </w:tc>
      </w:tr>
      <w:tr w:rsidR="00066DAE">
        <w:trPr>
          <w:trHeight w:val="318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 w:val="restart"/>
          </w:tcPr>
          <w:p w:rsidR="00066DAE" w:rsidRDefault="00066DAE">
            <w:pPr>
              <w:pStyle w:val="TableParagraph"/>
              <w:spacing w:before="127"/>
              <w:rPr>
                <w:b/>
                <w:sz w:val="20"/>
              </w:rPr>
            </w:pPr>
          </w:p>
          <w:p w:rsidR="00066DAE" w:rsidRDefault="00651F3D">
            <w:pPr>
              <w:pStyle w:val="TableParagraph"/>
              <w:ind w:left="605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2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Encerramento</w:t>
            </w: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37"/>
              <w:ind w:left="64"/>
              <w:rPr>
                <w:sz w:val="20"/>
              </w:rPr>
            </w:pPr>
            <w:r>
              <w:rPr>
                <w:sz w:val="20"/>
              </w:rPr>
              <w:t>Restos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6.3)</w:t>
            </w:r>
          </w:p>
        </w:tc>
      </w:tr>
      <w:tr w:rsidR="00066DAE">
        <w:trPr>
          <w:trHeight w:val="321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39"/>
              <w:ind w:left="64"/>
              <w:rPr>
                <w:sz w:val="20"/>
              </w:rPr>
            </w:pPr>
            <w:r>
              <w:rPr>
                <w:sz w:val="20"/>
              </w:rPr>
              <w:t>Previsão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Receita</w:t>
            </w:r>
          </w:p>
        </w:tc>
      </w:tr>
      <w:tr w:rsidR="00066DAE">
        <w:trPr>
          <w:trHeight w:val="318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37"/>
              <w:ind w:left="64"/>
              <w:rPr>
                <w:sz w:val="20"/>
              </w:rPr>
            </w:pPr>
            <w:r>
              <w:rPr>
                <w:sz w:val="20"/>
              </w:rPr>
              <w:t>Fixação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Despesa</w:t>
            </w:r>
          </w:p>
        </w:tc>
      </w:tr>
      <w:tr w:rsidR="00066DAE">
        <w:trPr>
          <w:trHeight w:val="321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066DAE" w:rsidRDefault="00651F3D">
            <w:pPr>
              <w:pStyle w:val="TableParagraph"/>
              <w:spacing w:before="39"/>
              <w:ind w:right="66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Conferência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saldo</w:t>
            </w: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39"/>
              <w:ind w:left="64"/>
              <w:rPr>
                <w:sz w:val="20"/>
              </w:rPr>
            </w:pPr>
            <w:r>
              <w:rPr>
                <w:sz w:val="20"/>
              </w:rPr>
              <w:t>6.2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0</w:t>
            </w:r>
          </w:p>
        </w:tc>
      </w:tr>
      <w:tr w:rsidR="00066DAE">
        <w:trPr>
          <w:trHeight w:val="319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 w:val="restart"/>
          </w:tcPr>
          <w:p w:rsidR="00066DAE" w:rsidRDefault="00066DAE">
            <w:pPr>
              <w:pStyle w:val="TableParagraph"/>
              <w:spacing w:before="127"/>
              <w:rPr>
                <w:b/>
                <w:sz w:val="20"/>
              </w:rPr>
            </w:pPr>
          </w:p>
          <w:p w:rsidR="00066DAE" w:rsidRDefault="00651F3D">
            <w:pPr>
              <w:pStyle w:val="TableParagraph"/>
              <w:ind w:left="1438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Emitir</w:t>
            </w: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37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BO</w:t>
            </w:r>
          </w:p>
        </w:tc>
      </w:tr>
      <w:tr w:rsidR="00066DAE">
        <w:trPr>
          <w:trHeight w:val="321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39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BF</w:t>
            </w:r>
          </w:p>
        </w:tc>
      </w:tr>
      <w:tr w:rsidR="00066DAE">
        <w:trPr>
          <w:trHeight w:val="318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37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DVP</w:t>
            </w:r>
          </w:p>
        </w:tc>
      </w:tr>
      <w:tr w:rsidR="00066DAE">
        <w:trPr>
          <w:trHeight w:val="347"/>
        </w:trPr>
        <w:tc>
          <w:tcPr>
            <w:tcW w:w="259" w:type="dxa"/>
            <w:vMerge w:val="restart"/>
          </w:tcPr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spacing w:before="13"/>
              <w:rPr>
                <w:b/>
                <w:sz w:val="20"/>
              </w:rPr>
            </w:pPr>
          </w:p>
          <w:p w:rsidR="00066DAE" w:rsidRDefault="00651F3D">
            <w:pPr>
              <w:pStyle w:val="TableParagraph"/>
              <w:ind w:left="69"/>
              <w:rPr>
                <w:b/>
                <w:sz w:val="20"/>
              </w:rPr>
            </w:pPr>
            <w:proofErr w:type="gramStart"/>
            <w:r>
              <w:rPr>
                <w:b/>
                <w:spacing w:val="-10"/>
                <w:sz w:val="20"/>
              </w:rPr>
              <w:t>3</w:t>
            </w:r>
            <w:proofErr w:type="gramEnd"/>
          </w:p>
        </w:tc>
        <w:tc>
          <w:tcPr>
            <w:tcW w:w="964" w:type="dxa"/>
            <w:vMerge w:val="restart"/>
          </w:tcPr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spacing w:before="134"/>
              <w:rPr>
                <w:b/>
                <w:sz w:val="20"/>
              </w:rPr>
            </w:pPr>
          </w:p>
          <w:p w:rsidR="00066DAE" w:rsidRDefault="00651F3D">
            <w:pPr>
              <w:pStyle w:val="TableParagraph"/>
              <w:ind w:left="86" w:right="80" w:firstLine="254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em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31.12.X1</w:t>
            </w:r>
          </w:p>
        </w:tc>
        <w:tc>
          <w:tcPr>
            <w:tcW w:w="2272" w:type="dxa"/>
            <w:vMerge w:val="restart"/>
            <w:shd w:val="clear" w:color="auto" w:fill="D9D9D9"/>
          </w:tcPr>
          <w:p w:rsidR="00066DAE" w:rsidRDefault="00066DAE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066DAE" w:rsidRDefault="00651F3D">
            <w:pPr>
              <w:pStyle w:val="TableParagraph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M14</w:t>
            </w:r>
          </w:p>
        </w:tc>
        <w:tc>
          <w:tcPr>
            <w:tcW w:w="5152" w:type="dxa"/>
            <w:shd w:val="clear" w:color="auto" w:fill="D9D9D9"/>
          </w:tcPr>
          <w:p w:rsidR="00066DAE" w:rsidRDefault="00651F3D">
            <w:pPr>
              <w:pStyle w:val="TableParagraph"/>
              <w:spacing w:before="51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Rotina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Encerramento</w:t>
            </w:r>
          </w:p>
        </w:tc>
      </w:tr>
      <w:tr w:rsidR="00066DAE">
        <w:trPr>
          <w:trHeight w:val="321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  <w:shd w:val="clear" w:color="auto" w:fill="D9D9D9"/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shd w:val="clear" w:color="auto" w:fill="D9D9D9"/>
          </w:tcPr>
          <w:p w:rsidR="00066DAE" w:rsidRDefault="00651F3D">
            <w:pPr>
              <w:pStyle w:val="TableParagraph"/>
              <w:spacing w:before="39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Apuração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Patrimonial</w:t>
            </w:r>
          </w:p>
        </w:tc>
      </w:tr>
      <w:tr w:rsidR="00066DAE">
        <w:trPr>
          <w:trHeight w:val="482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  <w:shd w:val="clear" w:color="auto" w:fill="D9D9D9"/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  <w:shd w:val="clear" w:color="auto" w:fill="D9D9D9"/>
          </w:tcPr>
          <w:p w:rsidR="00066DAE" w:rsidRDefault="00651F3D">
            <w:pPr>
              <w:pStyle w:val="TableParagraph"/>
              <w:spacing w:line="240" w:lineRule="exact"/>
              <w:ind w:left="64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Encerramento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Contas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Controles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Credores e Devedores (</w:t>
            </w:r>
            <w:proofErr w:type="gramStart"/>
            <w:r>
              <w:rPr>
                <w:b/>
                <w:sz w:val="20"/>
              </w:rPr>
              <w:t>7</w:t>
            </w:r>
            <w:proofErr w:type="gramEnd"/>
            <w:r>
              <w:rPr>
                <w:b/>
                <w:sz w:val="20"/>
              </w:rPr>
              <w:t xml:space="preserve"> e 8)</w:t>
            </w:r>
          </w:p>
        </w:tc>
      </w:tr>
      <w:tr w:rsidR="00066DAE">
        <w:trPr>
          <w:trHeight w:val="321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066DAE" w:rsidRDefault="00066D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39"/>
              <w:ind w:left="64"/>
              <w:rPr>
                <w:sz w:val="20"/>
              </w:rPr>
            </w:pPr>
            <w:r>
              <w:rPr>
                <w:sz w:val="20"/>
              </w:rPr>
              <w:t>Grupos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2.3.7.1.1.01.00</w:t>
            </w:r>
          </w:p>
        </w:tc>
      </w:tr>
      <w:tr w:rsidR="00066DAE">
        <w:trPr>
          <w:trHeight w:val="455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66DAE" w:rsidRDefault="00651F3D">
            <w:pPr>
              <w:pStyle w:val="TableParagraph"/>
              <w:spacing w:before="66"/>
              <w:ind w:right="66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Encerramento</w:t>
            </w: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104"/>
              <w:ind w:left="64"/>
              <w:rPr>
                <w:sz w:val="20"/>
              </w:rPr>
            </w:pPr>
            <w:r>
              <w:rPr>
                <w:sz w:val="20"/>
              </w:rPr>
              <w:t>Grupos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7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encerramento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obrigatório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5"/>
                <w:sz w:val="20"/>
              </w:rPr>
              <w:t>M14</w:t>
            </w:r>
          </w:p>
        </w:tc>
      </w:tr>
      <w:tr w:rsidR="00066DAE">
        <w:trPr>
          <w:trHeight w:val="491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66DAE" w:rsidRDefault="00066D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123"/>
              <w:ind w:left="64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0</w:t>
            </w:r>
          </w:p>
        </w:tc>
      </w:tr>
      <w:tr w:rsidR="00066DAE">
        <w:trPr>
          <w:trHeight w:val="482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66DAE" w:rsidRDefault="00651F3D">
            <w:pPr>
              <w:pStyle w:val="TableParagraph"/>
              <w:spacing w:before="160"/>
              <w:ind w:right="6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Conferência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saldo</w:t>
            </w: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line="242" w:lineRule="exact"/>
              <w:ind w:left="64"/>
              <w:rPr>
                <w:b/>
                <w:sz w:val="20"/>
              </w:rPr>
            </w:pPr>
            <w:r>
              <w:rPr>
                <w:sz w:val="20"/>
              </w:rPr>
              <w:t>Conta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2.3.7.1.1.01.00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apurado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 </w:t>
            </w:r>
            <w:r>
              <w:rPr>
                <w:b/>
                <w:spacing w:val="-2"/>
                <w:sz w:val="20"/>
              </w:rPr>
              <w:t>exercício</w:t>
            </w:r>
          </w:p>
        </w:tc>
      </w:tr>
      <w:tr w:rsidR="00066DAE">
        <w:trPr>
          <w:trHeight w:val="320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066DAE" w:rsidRDefault="00066D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38"/>
              <w:ind w:left="64"/>
              <w:rPr>
                <w:sz w:val="20"/>
              </w:rPr>
            </w:pPr>
            <w:r>
              <w:rPr>
                <w:sz w:val="20"/>
              </w:rPr>
              <w:t>Contas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8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066DAE">
        <w:trPr>
          <w:trHeight w:val="347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066DAE" w:rsidRDefault="00651F3D">
            <w:pPr>
              <w:pStyle w:val="TableParagraph"/>
              <w:spacing w:before="51"/>
              <w:ind w:right="64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Emitir</w:t>
            </w: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51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BP</w:t>
            </w:r>
          </w:p>
        </w:tc>
      </w:tr>
      <w:tr w:rsidR="00066DAE">
        <w:trPr>
          <w:trHeight w:val="318"/>
        </w:trPr>
        <w:tc>
          <w:tcPr>
            <w:tcW w:w="259" w:type="dxa"/>
            <w:vMerge w:val="restart"/>
          </w:tcPr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spacing w:before="73"/>
              <w:rPr>
                <w:b/>
                <w:sz w:val="20"/>
              </w:rPr>
            </w:pPr>
          </w:p>
          <w:p w:rsidR="00066DAE" w:rsidRDefault="00651F3D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proofErr w:type="gramStart"/>
            <w:r>
              <w:rPr>
                <w:b/>
                <w:spacing w:val="-10"/>
                <w:sz w:val="20"/>
              </w:rPr>
              <w:t>4</w:t>
            </w:r>
            <w:proofErr w:type="gramEnd"/>
          </w:p>
        </w:tc>
        <w:tc>
          <w:tcPr>
            <w:tcW w:w="964" w:type="dxa"/>
            <w:vMerge w:val="restart"/>
          </w:tcPr>
          <w:p w:rsidR="00066DAE" w:rsidRDefault="00066DAE">
            <w:pPr>
              <w:pStyle w:val="TableParagraph"/>
              <w:rPr>
                <w:b/>
                <w:sz w:val="20"/>
              </w:rPr>
            </w:pPr>
          </w:p>
          <w:p w:rsidR="00066DAE" w:rsidRDefault="00066DAE">
            <w:pPr>
              <w:pStyle w:val="TableParagraph"/>
              <w:spacing w:before="195"/>
              <w:rPr>
                <w:b/>
                <w:sz w:val="20"/>
              </w:rPr>
            </w:pPr>
          </w:p>
          <w:p w:rsidR="00066DAE" w:rsidRDefault="00651F3D">
            <w:pPr>
              <w:pStyle w:val="TableParagraph"/>
              <w:ind w:left="86" w:right="80" w:firstLine="254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em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01.01.X2</w:t>
            </w:r>
          </w:p>
        </w:tc>
        <w:tc>
          <w:tcPr>
            <w:tcW w:w="2272" w:type="dxa"/>
            <w:shd w:val="clear" w:color="auto" w:fill="D9D9D9"/>
          </w:tcPr>
          <w:p w:rsidR="00066DAE" w:rsidRDefault="00651F3D">
            <w:pPr>
              <w:pStyle w:val="TableParagraph"/>
              <w:spacing w:before="37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M01</w:t>
            </w:r>
          </w:p>
        </w:tc>
        <w:tc>
          <w:tcPr>
            <w:tcW w:w="5152" w:type="dxa"/>
            <w:shd w:val="clear" w:color="auto" w:fill="D9D9D9"/>
          </w:tcPr>
          <w:p w:rsidR="00066DAE" w:rsidRDefault="00651F3D">
            <w:pPr>
              <w:pStyle w:val="TableParagraph"/>
              <w:spacing w:before="37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Abertura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Exercício</w:t>
            </w:r>
          </w:p>
        </w:tc>
      </w:tr>
      <w:tr w:rsidR="00066DAE">
        <w:trPr>
          <w:trHeight w:val="321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066DAE" w:rsidRDefault="00651F3D">
            <w:pPr>
              <w:pStyle w:val="TableParagraph"/>
              <w:spacing w:before="39"/>
              <w:ind w:right="66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Encerramento</w:t>
            </w: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39"/>
              <w:ind w:left="64"/>
              <w:rPr>
                <w:sz w:val="20"/>
              </w:rPr>
            </w:pPr>
            <w:r>
              <w:rPr>
                <w:sz w:val="20"/>
              </w:rPr>
              <w:t>Contas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2.3.7.1.1.01.00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2.3.7.1.1.03.00</w:t>
            </w:r>
          </w:p>
        </w:tc>
      </w:tr>
      <w:tr w:rsidR="00066DAE">
        <w:trPr>
          <w:trHeight w:val="318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066DAE" w:rsidRDefault="00651F3D">
            <w:pPr>
              <w:pStyle w:val="TableParagraph"/>
              <w:spacing w:before="37"/>
              <w:ind w:right="65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37"/>
              <w:ind w:left="64"/>
              <w:rPr>
                <w:sz w:val="20"/>
              </w:rPr>
            </w:pPr>
            <w:r>
              <w:rPr>
                <w:sz w:val="20"/>
              </w:rPr>
              <w:t>Novos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RPNP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liquidar,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RPP</w:t>
            </w:r>
            <w:proofErr w:type="gramEnd"/>
          </w:p>
        </w:tc>
      </w:tr>
      <w:tr w:rsidR="00066DAE">
        <w:trPr>
          <w:trHeight w:val="357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 w:val="restart"/>
          </w:tcPr>
          <w:p w:rsidR="00066DAE" w:rsidRDefault="00066DAE">
            <w:pPr>
              <w:pStyle w:val="TableParagraph"/>
              <w:spacing w:before="62"/>
              <w:rPr>
                <w:b/>
                <w:sz w:val="20"/>
              </w:rPr>
            </w:pPr>
          </w:p>
          <w:p w:rsidR="00066DAE" w:rsidRDefault="00651F3D">
            <w:pPr>
              <w:pStyle w:val="TableParagraph"/>
              <w:ind w:left="655"/>
              <w:rPr>
                <w:sz w:val="20"/>
              </w:rPr>
            </w:pPr>
            <w:r>
              <w:rPr>
                <w:b/>
                <w:sz w:val="20"/>
              </w:rPr>
              <w:t xml:space="preserve">10. </w:t>
            </w:r>
            <w:r>
              <w:rPr>
                <w:spacing w:val="-2"/>
                <w:sz w:val="20"/>
              </w:rPr>
              <w:t>Lançamentos</w:t>
            </w: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before="59"/>
              <w:ind w:left="64"/>
              <w:rPr>
                <w:sz w:val="20"/>
              </w:rPr>
            </w:pPr>
            <w:r>
              <w:rPr>
                <w:sz w:val="20"/>
              </w:rPr>
              <w:t>Previsão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Fixação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Despesa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(QDD)</w:t>
            </w:r>
          </w:p>
        </w:tc>
      </w:tr>
      <w:tr w:rsidR="00066DAE">
        <w:trPr>
          <w:trHeight w:val="484"/>
        </w:trPr>
        <w:tc>
          <w:tcPr>
            <w:tcW w:w="259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066DAE" w:rsidRDefault="00066DAE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</w:tcPr>
          <w:p w:rsidR="00066DAE" w:rsidRDefault="00651F3D">
            <w:pPr>
              <w:pStyle w:val="TableParagraph"/>
              <w:spacing w:line="242" w:lineRule="exact"/>
              <w:ind w:left="64"/>
              <w:rPr>
                <w:sz w:val="20"/>
              </w:rPr>
            </w:pPr>
            <w:r>
              <w:rPr>
                <w:sz w:val="20"/>
              </w:rPr>
              <w:t>Transferência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saldos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remanescentes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Contas Contábeis em </w:t>
            </w:r>
            <w:proofErr w:type="gramStart"/>
            <w:r>
              <w:rPr>
                <w:sz w:val="20"/>
              </w:rPr>
              <w:t>31.12.</w:t>
            </w:r>
            <w:proofErr w:type="gramEnd"/>
            <w:r>
              <w:rPr>
                <w:sz w:val="20"/>
              </w:rPr>
              <w:t>X1</w:t>
            </w:r>
          </w:p>
        </w:tc>
      </w:tr>
      <w:tr w:rsidR="00066DAE">
        <w:trPr>
          <w:trHeight w:val="482"/>
        </w:trPr>
        <w:tc>
          <w:tcPr>
            <w:tcW w:w="259" w:type="dxa"/>
          </w:tcPr>
          <w:p w:rsidR="00066DAE" w:rsidRDefault="00651F3D">
            <w:pPr>
              <w:pStyle w:val="TableParagraph"/>
              <w:spacing w:before="119"/>
              <w:ind w:left="1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10"/>
                <w:sz w:val="20"/>
              </w:rPr>
              <w:t>5</w:t>
            </w:r>
            <w:proofErr w:type="gramEnd"/>
          </w:p>
        </w:tc>
        <w:tc>
          <w:tcPr>
            <w:tcW w:w="964" w:type="dxa"/>
          </w:tcPr>
          <w:p w:rsidR="00066DAE" w:rsidRDefault="00651F3D">
            <w:pPr>
              <w:pStyle w:val="TableParagraph"/>
              <w:spacing w:line="240" w:lineRule="exact"/>
              <w:ind w:left="86" w:right="80" w:firstLine="254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em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01.01.X2</w:t>
            </w:r>
          </w:p>
        </w:tc>
        <w:tc>
          <w:tcPr>
            <w:tcW w:w="2272" w:type="dxa"/>
            <w:shd w:val="clear" w:color="auto" w:fill="D9D9D9"/>
          </w:tcPr>
          <w:p w:rsidR="00066DAE" w:rsidRDefault="00651F3D">
            <w:pPr>
              <w:pStyle w:val="TableParagraph"/>
              <w:spacing w:before="119"/>
              <w:ind w:left="641"/>
              <w:rPr>
                <w:b/>
                <w:sz w:val="20"/>
              </w:rPr>
            </w:pPr>
            <w:r>
              <w:rPr>
                <w:b/>
                <w:sz w:val="20"/>
              </w:rPr>
              <w:t>M1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M12</w:t>
            </w:r>
          </w:p>
        </w:tc>
        <w:tc>
          <w:tcPr>
            <w:tcW w:w="5152" w:type="dxa"/>
            <w:shd w:val="clear" w:color="auto" w:fill="D9D9D9"/>
          </w:tcPr>
          <w:p w:rsidR="00066DAE" w:rsidRDefault="00651F3D">
            <w:pPr>
              <w:pStyle w:val="TableParagraph"/>
              <w:spacing w:before="119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Execução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orçamento</w:t>
            </w:r>
          </w:p>
        </w:tc>
      </w:tr>
    </w:tbl>
    <w:p w:rsidR="00000000" w:rsidRDefault="00651F3D"/>
    <w:sectPr w:rsidR="00000000">
      <w:pgSz w:w="11910" w:h="16840"/>
      <w:pgMar w:top="1320" w:right="1417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72" w:rsidRDefault="00BB4472" w:rsidP="00BB4472">
      <w:r>
        <w:separator/>
      </w:r>
    </w:p>
  </w:endnote>
  <w:endnote w:type="continuationSeparator" w:id="0">
    <w:p w:rsidR="00BB4472" w:rsidRDefault="00BB4472" w:rsidP="00BB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72" w:rsidRDefault="00BB4472">
    <w:pPr>
      <w:pStyle w:val="Rodap"/>
    </w:pPr>
  </w:p>
  <w:p w:rsidR="00BB4472" w:rsidRDefault="00BB44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72" w:rsidRDefault="00BB4472" w:rsidP="00BB4472">
      <w:r>
        <w:separator/>
      </w:r>
    </w:p>
  </w:footnote>
  <w:footnote w:type="continuationSeparator" w:id="0">
    <w:p w:rsidR="00BB4472" w:rsidRDefault="00BB4472" w:rsidP="00BB4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72" w:rsidRDefault="00BB4472" w:rsidP="00BB4472">
    <w:pPr>
      <w:pStyle w:val="Corpodetexto"/>
      <w:spacing w:before="262"/>
      <w:ind w:left="1263" w:right="5202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02C9311F" wp14:editId="7B6E3206">
          <wp:simplePos x="0" y="0"/>
          <wp:positionH relativeFrom="page">
            <wp:posOffset>1080135</wp:posOffset>
          </wp:positionH>
          <wp:positionV relativeFrom="paragraph">
            <wp:posOffset>-889</wp:posOffset>
          </wp:positionV>
          <wp:extent cx="571500" cy="695325"/>
          <wp:effectExtent l="0" t="0" r="0" b="0"/>
          <wp:wrapNone/>
          <wp:docPr id="1" name="Image 1" descr="brasao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rasaoPI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0" locked="0" layoutInCell="1" allowOverlap="1" wp14:anchorId="4D820020" wp14:editId="0F4BA46B">
          <wp:simplePos x="0" y="0"/>
          <wp:positionH relativeFrom="page">
            <wp:posOffset>5595620</wp:posOffset>
          </wp:positionH>
          <wp:positionV relativeFrom="paragraph">
            <wp:posOffset>-889</wp:posOffset>
          </wp:positionV>
          <wp:extent cx="695325" cy="695325"/>
          <wp:effectExtent l="0" t="0" r="0" b="0"/>
          <wp:wrapNone/>
          <wp:docPr id="2" name="Image 2" descr="logoT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T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Piauí Tribunal</w:t>
    </w:r>
    <w:r>
      <w:rPr>
        <w:spacing w:val="-19"/>
      </w:rPr>
      <w:t xml:space="preserve"> </w:t>
    </w:r>
    <w:r>
      <w:t>de</w:t>
    </w:r>
    <w:r>
      <w:rPr>
        <w:spacing w:val="-18"/>
      </w:rPr>
      <w:t xml:space="preserve"> </w:t>
    </w:r>
    <w:r>
      <w:t>Contas</w:t>
    </w:r>
  </w:p>
  <w:p w:rsidR="00BB4472" w:rsidRDefault="00BB4472" w:rsidP="00BB4472">
    <w:pPr>
      <w:pStyle w:val="Corpodetexto"/>
      <w:spacing w:before="2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4482"/>
    <w:multiLevelType w:val="multilevel"/>
    <w:tmpl w:val="F7287E8C"/>
    <w:lvl w:ilvl="0">
      <w:start w:val="1"/>
      <w:numFmt w:val="decimal"/>
      <w:lvlText w:val="%1."/>
      <w:lvlJc w:val="left"/>
      <w:pPr>
        <w:ind w:left="143" w:hanging="29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1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6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66DAE"/>
    <w:rsid w:val="00066DAE"/>
    <w:rsid w:val="00651F3D"/>
    <w:rsid w:val="00BB4472"/>
    <w:rsid w:val="00C7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right="2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B44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72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B44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72"/>
    <w:rPr>
      <w:rFonts w:ascii="Tahoma" w:eastAsia="Tahoma" w:hAnsi="Tahoma" w:cs="Tahom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472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472"/>
    <w:rPr>
      <w:rFonts w:ascii="Tahoma" w:eastAsia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right="2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B44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72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B44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72"/>
    <w:rPr>
      <w:rFonts w:ascii="Tahoma" w:eastAsia="Tahoma" w:hAnsi="Tahoma" w:cs="Tahom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472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472"/>
    <w:rPr>
      <w:rFonts w:ascii="Tahoma" w:eastAsia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Ednize Oliveira Costa</dc:creator>
  <cp:lastModifiedBy>Yngrid Fernandes Nogueira de Sousa</cp:lastModifiedBy>
  <cp:revision>4</cp:revision>
  <cp:lastPrinted>2025-02-06T14:54:00Z</cp:lastPrinted>
  <dcterms:created xsi:type="dcterms:W3CDTF">2025-02-03T11:58:00Z</dcterms:created>
  <dcterms:modified xsi:type="dcterms:W3CDTF">2025-02-06T14:55:00Z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2010</vt:lpwstr>
  </property>
</Properties>
</file>