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43632" w14:textId="77777777" w:rsidR="00F15F59" w:rsidRDefault="00F15F59" w:rsidP="00CD232D"/>
    <w:p w14:paraId="074E5B54" w14:textId="060F35D8" w:rsidR="00B62DA3" w:rsidRDefault="00B62DA3" w:rsidP="00B62DA3">
      <w:pPr>
        <w:pStyle w:val="Corpodetexto"/>
        <w:ind w:left="118"/>
        <w:rPr>
          <w:b/>
          <w:bCs/>
          <w:lang w:val="pt-BR" w:eastAsia="pt-BR" w:bidi="ar-SA"/>
        </w:rPr>
      </w:pPr>
      <w:r w:rsidRPr="00B62DA3">
        <w:rPr>
          <w:b/>
          <w:bCs/>
          <w:lang w:val="pt-BR" w:eastAsia="pt-BR" w:bidi="ar-SA"/>
        </w:rPr>
        <w:t xml:space="preserve">NOTA TÉCNICA TCE/PI Nº 03, DE 26 DE OUTUBRO DE 2023. </w:t>
      </w:r>
    </w:p>
    <w:p w14:paraId="0CA1C8E0" w14:textId="77777777" w:rsidR="00B92FD6" w:rsidRPr="00B62DA3" w:rsidRDefault="00B92FD6" w:rsidP="00B62DA3">
      <w:pPr>
        <w:pStyle w:val="Corpodetexto"/>
        <w:ind w:left="118"/>
        <w:rPr>
          <w:b/>
          <w:bCs/>
          <w:lang w:val="pt-BR" w:eastAsia="pt-BR" w:bidi="ar-SA"/>
        </w:rPr>
      </w:pPr>
    </w:p>
    <w:p w14:paraId="5AB43634" w14:textId="77777777" w:rsidR="00F15F59" w:rsidRPr="00B62DA3" w:rsidRDefault="00F15F59" w:rsidP="00BD573E">
      <w:pPr>
        <w:pStyle w:val="Corpodetexto"/>
        <w:ind w:left="118"/>
        <w:rPr>
          <w:b/>
        </w:rPr>
      </w:pPr>
    </w:p>
    <w:p w14:paraId="5EF23B00" w14:textId="24A759D4" w:rsidR="5618218F" w:rsidRPr="00B62DA3" w:rsidRDefault="5618218F" w:rsidP="41C4D05E">
      <w:pPr>
        <w:widowControl/>
        <w:spacing w:line="300" w:lineRule="auto"/>
        <w:ind w:left="3969"/>
        <w:jc w:val="both"/>
        <w:outlineLvl w:val="0"/>
        <w:rPr>
          <w:b/>
          <w:bCs/>
          <w:sz w:val="20"/>
          <w:szCs w:val="20"/>
          <w:lang w:val="pt-BR" w:eastAsia="pt-BR" w:bidi="ar-SA"/>
        </w:rPr>
      </w:pPr>
      <w:r w:rsidRPr="00B62DA3">
        <w:rPr>
          <w:b/>
          <w:bCs/>
          <w:sz w:val="20"/>
          <w:szCs w:val="20"/>
          <w:lang w:val="pt-BR" w:eastAsia="pt-BR" w:bidi="ar-SA"/>
        </w:rPr>
        <w:t xml:space="preserve">Orientação aos jurisdicionados do TCE-PI acerca da aplicação </w:t>
      </w:r>
      <w:bookmarkStart w:id="0" w:name="_GoBack"/>
      <w:bookmarkEnd w:id="0"/>
      <w:r w:rsidRPr="00B62DA3">
        <w:rPr>
          <w:b/>
          <w:bCs/>
          <w:sz w:val="20"/>
          <w:szCs w:val="20"/>
          <w:lang w:val="pt-BR" w:eastAsia="pt-BR" w:bidi="ar-SA"/>
        </w:rPr>
        <w:t xml:space="preserve">financeira dos </w:t>
      </w:r>
      <w:r w:rsidR="38F45FB3" w:rsidRPr="00B62DA3">
        <w:rPr>
          <w:b/>
          <w:bCs/>
          <w:sz w:val="20"/>
          <w:szCs w:val="20"/>
          <w:lang w:val="pt-BR" w:eastAsia="pt-BR" w:bidi="ar-SA"/>
        </w:rPr>
        <w:t>recursos financeiros provenientes de repasses duodecimais</w:t>
      </w:r>
      <w:r w:rsidRPr="00B62DA3">
        <w:rPr>
          <w:b/>
          <w:bCs/>
          <w:sz w:val="20"/>
          <w:szCs w:val="20"/>
          <w:lang w:val="pt-BR" w:eastAsia="pt-BR" w:bidi="ar-SA"/>
        </w:rPr>
        <w:t xml:space="preserve"> disponíveis em suas contas correntes, </w:t>
      </w:r>
      <w:r w:rsidR="7A91F03D" w:rsidRPr="00B62DA3">
        <w:rPr>
          <w:b/>
          <w:bCs/>
          <w:sz w:val="20"/>
          <w:szCs w:val="20"/>
          <w:lang w:val="pt-BR" w:eastAsia="pt-BR" w:bidi="ar-SA"/>
        </w:rPr>
        <w:t>visando preservar</w:t>
      </w:r>
      <w:r w:rsidR="1D554A89" w:rsidRPr="00B62DA3">
        <w:rPr>
          <w:b/>
          <w:bCs/>
          <w:sz w:val="20"/>
          <w:szCs w:val="20"/>
          <w:lang w:val="pt-BR" w:eastAsia="pt-BR" w:bidi="ar-SA"/>
        </w:rPr>
        <w:t xml:space="preserve"> </w:t>
      </w:r>
      <w:r w:rsidR="6499F9F7" w:rsidRPr="00B62DA3">
        <w:rPr>
          <w:b/>
          <w:bCs/>
          <w:sz w:val="20"/>
          <w:szCs w:val="20"/>
          <w:lang w:val="pt-BR" w:eastAsia="pt-BR" w:bidi="ar-SA"/>
        </w:rPr>
        <w:t>seu</w:t>
      </w:r>
      <w:r w:rsidR="1D554A89" w:rsidRPr="00B62DA3">
        <w:rPr>
          <w:b/>
          <w:bCs/>
          <w:sz w:val="20"/>
          <w:szCs w:val="20"/>
          <w:lang w:val="pt-BR" w:eastAsia="pt-BR" w:bidi="ar-SA"/>
        </w:rPr>
        <w:t xml:space="preserve"> poder de compra</w:t>
      </w:r>
      <w:r w:rsidR="40B6989C" w:rsidRPr="00B62DA3">
        <w:rPr>
          <w:b/>
          <w:bCs/>
          <w:sz w:val="20"/>
          <w:szCs w:val="20"/>
          <w:lang w:val="pt-BR" w:eastAsia="pt-BR" w:bidi="ar-SA"/>
        </w:rPr>
        <w:t>.</w:t>
      </w:r>
    </w:p>
    <w:p w14:paraId="55C3C905" w14:textId="08842035" w:rsidR="41C4D05E" w:rsidRPr="00B62DA3" w:rsidRDefault="41C4D05E" w:rsidP="41C4D05E">
      <w:pPr>
        <w:widowControl/>
        <w:spacing w:line="300" w:lineRule="auto"/>
        <w:ind w:left="3969"/>
        <w:jc w:val="both"/>
        <w:outlineLvl w:val="0"/>
        <w:rPr>
          <w:b/>
          <w:bCs/>
          <w:sz w:val="24"/>
          <w:szCs w:val="24"/>
          <w:lang w:val="pt-BR" w:eastAsia="pt-BR" w:bidi="ar-SA"/>
        </w:rPr>
      </w:pPr>
    </w:p>
    <w:p w14:paraId="320533D2" w14:textId="77777777" w:rsidR="00B92FD6" w:rsidRDefault="00B92FD6" w:rsidP="00C71BB0">
      <w:pPr>
        <w:widowControl/>
        <w:adjustRightInd w:val="0"/>
        <w:spacing w:line="300" w:lineRule="auto"/>
        <w:ind w:firstLine="1134"/>
        <w:jc w:val="both"/>
        <w:outlineLvl w:val="0"/>
        <w:rPr>
          <w:bCs/>
          <w:sz w:val="24"/>
          <w:szCs w:val="24"/>
          <w:lang w:val="pt-BR" w:eastAsia="pt-BR" w:bidi="ar-SA"/>
        </w:rPr>
      </w:pPr>
    </w:p>
    <w:p w14:paraId="5AB43637" w14:textId="77777777" w:rsidR="00DC2F9F" w:rsidRPr="00B62DA3" w:rsidRDefault="00DC2F9F" w:rsidP="00C71BB0">
      <w:pPr>
        <w:widowControl/>
        <w:adjustRightInd w:val="0"/>
        <w:spacing w:line="300" w:lineRule="auto"/>
        <w:ind w:firstLine="1134"/>
        <w:jc w:val="both"/>
        <w:outlineLvl w:val="0"/>
        <w:rPr>
          <w:bCs/>
          <w:sz w:val="24"/>
          <w:szCs w:val="24"/>
          <w:lang w:val="pt-BR" w:eastAsia="pt-BR" w:bidi="ar-SA"/>
        </w:rPr>
      </w:pPr>
      <w:r w:rsidRPr="00B62DA3">
        <w:rPr>
          <w:bCs/>
          <w:sz w:val="24"/>
          <w:szCs w:val="24"/>
          <w:lang w:val="pt-BR" w:eastAsia="pt-BR" w:bidi="ar-SA"/>
        </w:rPr>
        <w:t xml:space="preserve">O </w:t>
      </w:r>
      <w:r w:rsidRPr="00B62DA3">
        <w:rPr>
          <w:b/>
          <w:bCs/>
          <w:sz w:val="24"/>
          <w:szCs w:val="24"/>
          <w:lang w:val="pt-BR" w:eastAsia="pt-BR" w:bidi="ar-SA"/>
        </w:rPr>
        <w:t>TRIBUNAL DE CONTAS DO ESTADO DO PIAUÍ</w:t>
      </w:r>
      <w:r w:rsidRPr="00B62DA3">
        <w:rPr>
          <w:bCs/>
          <w:sz w:val="24"/>
          <w:szCs w:val="24"/>
          <w:lang w:val="pt-BR" w:eastAsia="pt-BR" w:bidi="ar-SA"/>
        </w:rPr>
        <w:t>, no uso de suas atribuições constitucionais, legais e regulamentares,</w:t>
      </w:r>
    </w:p>
    <w:p w14:paraId="5AB43638" w14:textId="77777777" w:rsidR="00DC2F9F" w:rsidRPr="00B62DA3" w:rsidRDefault="00DC2F9F" w:rsidP="00C71BB0">
      <w:pPr>
        <w:widowControl/>
        <w:adjustRightInd w:val="0"/>
        <w:spacing w:line="300" w:lineRule="auto"/>
        <w:ind w:firstLine="1134"/>
        <w:jc w:val="both"/>
        <w:outlineLvl w:val="0"/>
        <w:rPr>
          <w:bCs/>
          <w:sz w:val="24"/>
          <w:szCs w:val="24"/>
          <w:lang w:val="pt-BR" w:eastAsia="pt-BR" w:bidi="ar-SA"/>
        </w:rPr>
      </w:pPr>
    </w:p>
    <w:p w14:paraId="5AB43639" w14:textId="77777777" w:rsidR="00F15F59" w:rsidRPr="00B62DA3" w:rsidRDefault="003F2481" w:rsidP="00C71BB0">
      <w:pPr>
        <w:widowControl/>
        <w:adjustRightInd w:val="0"/>
        <w:spacing w:line="300" w:lineRule="auto"/>
        <w:ind w:firstLine="1134"/>
        <w:jc w:val="both"/>
        <w:outlineLvl w:val="0"/>
        <w:rPr>
          <w:bCs/>
          <w:sz w:val="24"/>
          <w:szCs w:val="24"/>
          <w:lang w:val="pt-BR" w:eastAsia="pt-BR" w:bidi="ar-SA"/>
        </w:rPr>
      </w:pPr>
      <w:r w:rsidRPr="00B62DA3">
        <w:rPr>
          <w:b/>
          <w:bCs/>
          <w:sz w:val="24"/>
          <w:szCs w:val="24"/>
          <w:lang w:val="pt-BR" w:eastAsia="pt-BR" w:bidi="ar-SA"/>
        </w:rPr>
        <w:t>Considerando</w:t>
      </w:r>
      <w:r w:rsidRPr="00B62DA3">
        <w:rPr>
          <w:bCs/>
          <w:sz w:val="24"/>
          <w:szCs w:val="24"/>
          <w:lang w:val="pt-BR" w:eastAsia="pt-BR" w:bidi="ar-SA"/>
        </w:rPr>
        <w:t xml:space="preserve"> que o princípio da eficiência, </w:t>
      </w:r>
      <w:proofErr w:type="gramStart"/>
      <w:r w:rsidR="002F2C67" w:rsidRPr="00B62DA3">
        <w:rPr>
          <w:bCs/>
          <w:sz w:val="24"/>
          <w:szCs w:val="24"/>
          <w:lang w:val="pt-BR" w:eastAsia="pt-BR" w:bidi="ar-SA"/>
        </w:rPr>
        <w:t>previsto</w:t>
      </w:r>
      <w:proofErr w:type="gramEnd"/>
      <w:r w:rsidRPr="00B62DA3">
        <w:rPr>
          <w:bCs/>
          <w:sz w:val="24"/>
          <w:szCs w:val="24"/>
          <w:lang w:val="pt-BR" w:eastAsia="pt-BR" w:bidi="ar-SA"/>
        </w:rPr>
        <w:t xml:space="preserve"> no art. 37 da Constituição da República, compreende as boas práticas da gestão administrativa e financeira;</w:t>
      </w:r>
    </w:p>
    <w:p w14:paraId="5AB4363A" w14:textId="77777777" w:rsidR="003F2481" w:rsidRPr="00B62DA3" w:rsidRDefault="00D0019F" w:rsidP="00C71BB0">
      <w:pPr>
        <w:widowControl/>
        <w:adjustRightInd w:val="0"/>
        <w:spacing w:line="300" w:lineRule="auto"/>
        <w:ind w:firstLine="1134"/>
        <w:jc w:val="both"/>
        <w:outlineLvl w:val="0"/>
        <w:rPr>
          <w:bCs/>
          <w:sz w:val="24"/>
          <w:szCs w:val="24"/>
          <w:lang w:val="pt-BR" w:eastAsia="pt-BR" w:bidi="ar-SA"/>
        </w:rPr>
      </w:pPr>
      <w:r w:rsidRPr="00B62DA3">
        <w:rPr>
          <w:b/>
          <w:bCs/>
          <w:sz w:val="24"/>
          <w:szCs w:val="24"/>
          <w:lang w:val="pt-BR" w:eastAsia="pt-BR" w:bidi="ar-SA"/>
        </w:rPr>
        <w:t>Considerando</w:t>
      </w:r>
      <w:r w:rsidRPr="00B62DA3">
        <w:rPr>
          <w:bCs/>
          <w:sz w:val="24"/>
          <w:szCs w:val="24"/>
          <w:lang w:val="pt-BR" w:eastAsia="pt-BR" w:bidi="ar-SA"/>
        </w:rPr>
        <w:t xml:space="preserve"> que a a</w:t>
      </w:r>
      <w:r w:rsidR="003F2481" w:rsidRPr="00B62DA3">
        <w:rPr>
          <w:bCs/>
          <w:sz w:val="24"/>
          <w:szCs w:val="24"/>
          <w:lang w:val="pt-BR" w:eastAsia="pt-BR" w:bidi="ar-SA"/>
        </w:rPr>
        <w:t>usên</w:t>
      </w:r>
      <w:r w:rsidR="00EC5BE5" w:rsidRPr="00B62DA3">
        <w:rPr>
          <w:bCs/>
          <w:sz w:val="24"/>
          <w:szCs w:val="24"/>
          <w:lang w:val="pt-BR" w:eastAsia="pt-BR" w:bidi="ar-SA"/>
        </w:rPr>
        <w:t>cia de aplicação dos duodécimos</w:t>
      </w:r>
      <w:r w:rsidR="003F2481" w:rsidRPr="00B62DA3">
        <w:rPr>
          <w:bCs/>
          <w:sz w:val="24"/>
          <w:szCs w:val="24"/>
          <w:lang w:val="pt-BR" w:eastAsia="pt-BR" w:bidi="ar-SA"/>
        </w:rPr>
        <w:t xml:space="preserve">, mantendo os recursos </w:t>
      </w:r>
      <w:r w:rsidRPr="00B62DA3">
        <w:rPr>
          <w:bCs/>
          <w:sz w:val="24"/>
          <w:szCs w:val="24"/>
          <w:lang w:val="pt-BR" w:eastAsia="pt-BR" w:bidi="ar-SA"/>
        </w:rPr>
        <w:t xml:space="preserve">financeiros </w:t>
      </w:r>
      <w:r w:rsidR="003F2481" w:rsidRPr="00B62DA3">
        <w:rPr>
          <w:bCs/>
          <w:sz w:val="24"/>
          <w:szCs w:val="24"/>
          <w:lang w:val="pt-BR" w:eastAsia="pt-BR" w:bidi="ar-SA"/>
        </w:rPr>
        <w:t>em conta</w:t>
      </w:r>
      <w:r w:rsidR="002F2C67" w:rsidRPr="00B62DA3">
        <w:rPr>
          <w:bCs/>
          <w:sz w:val="24"/>
          <w:szCs w:val="24"/>
          <w:lang w:val="pt-BR" w:eastAsia="pt-BR" w:bidi="ar-SA"/>
        </w:rPr>
        <w:t xml:space="preserve"> </w:t>
      </w:r>
      <w:r w:rsidR="003F2481" w:rsidRPr="00B62DA3">
        <w:rPr>
          <w:bCs/>
          <w:sz w:val="24"/>
          <w:szCs w:val="24"/>
          <w:lang w:val="pt-BR" w:eastAsia="pt-BR" w:bidi="ar-SA"/>
        </w:rPr>
        <w:t xml:space="preserve">corrente, </w:t>
      </w:r>
      <w:r w:rsidRPr="00B62DA3">
        <w:rPr>
          <w:bCs/>
          <w:sz w:val="24"/>
          <w:szCs w:val="24"/>
          <w:lang w:val="pt-BR" w:eastAsia="pt-BR" w:bidi="ar-SA"/>
        </w:rPr>
        <w:t>enseja</w:t>
      </w:r>
      <w:r w:rsidR="003F2481" w:rsidRPr="00B62DA3">
        <w:rPr>
          <w:bCs/>
          <w:sz w:val="24"/>
          <w:szCs w:val="24"/>
          <w:lang w:val="pt-BR" w:eastAsia="pt-BR" w:bidi="ar-SA"/>
        </w:rPr>
        <w:t xml:space="preserve"> </w:t>
      </w:r>
      <w:r w:rsidRPr="00B62DA3">
        <w:rPr>
          <w:bCs/>
          <w:sz w:val="24"/>
          <w:szCs w:val="24"/>
          <w:lang w:val="pt-BR" w:eastAsia="pt-BR" w:bidi="ar-SA"/>
        </w:rPr>
        <w:t xml:space="preserve">prejuízo </w:t>
      </w:r>
      <w:r w:rsidR="003F2481" w:rsidRPr="00B62DA3">
        <w:rPr>
          <w:bCs/>
          <w:sz w:val="24"/>
          <w:szCs w:val="24"/>
          <w:lang w:val="pt-BR" w:eastAsia="pt-BR" w:bidi="ar-SA"/>
        </w:rPr>
        <w:t>aos princípios da eficiência, economicidade, razoabilidade e da indisponibilidade do bem público</w:t>
      </w:r>
      <w:r w:rsidRPr="00B62DA3">
        <w:rPr>
          <w:bCs/>
          <w:sz w:val="24"/>
          <w:szCs w:val="24"/>
          <w:lang w:val="pt-BR" w:eastAsia="pt-BR" w:bidi="ar-SA"/>
        </w:rPr>
        <w:t>;</w:t>
      </w:r>
    </w:p>
    <w:p w14:paraId="5AB4363B" w14:textId="77777777" w:rsidR="00D0019F" w:rsidRPr="00B62DA3" w:rsidRDefault="00D0019F" w:rsidP="00C71BB0">
      <w:pPr>
        <w:widowControl/>
        <w:adjustRightInd w:val="0"/>
        <w:spacing w:line="300" w:lineRule="auto"/>
        <w:ind w:firstLine="1134"/>
        <w:jc w:val="both"/>
        <w:outlineLvl w:val="0"/>
        <w:rPr>
          <w:bCs/>
          <w:sz w:val="24"/>
          <w:szCs w:val="24"/>
          <w:lang w:val="pt-BR" w:eastAsia="pt-BR" w:bidi="ar-SA"/>
        </w:rPr>
      </w:pPr>
      <w:r w:rsidRPr="00B62DA3">
        <w:rPr>
          <w:b/>
          <w:bCs/>
          <w:sz w:val="24"/>
          <w:szCs w:val="24"/>
          <w:lang w:val="pt-BR" w:eastAsia="pt-BR" w:bidi="ar-SA"/>
        </w:rPr>
        <w:t>Considerando</w:t>
      </w:r>
      <w:r w:rsidRPr="00B62DA3">
        <w:rPr>
          <w:bCs/>
          <w:sz w:val="24"/>
          <w:szCs w:val="24"/>
          <w:lang w:val="pt-BR" w:eastAsia="pt-BR" w:bidi="ar-SA"/>
        </w:rPr>
        <w:t xml:space="preserve"> que a obtenção de remuneração em face da aplicação dos recursos monetários disponíveis em conta corrente, sem que haja prejuízo ao cumprimento das obrigações financeiras do ente, caracteriza boa prática de gestão financeira;</w:t>
      </w:r>
    </w:p>
    <w:p w14:paraId="5AB4363C" w14:textId="77777777" w:rsidR="00527DF9" w:rsidRPr="00B62DA3" w:rsidRDefault="00527DF9" w:rsidP="00C71BB0">
      <w:pPr>
        <w:widowControl/>
        <w:adjustRightInd w:val="0"/>
        <w:spacing w:line="300" w:lineRule="auto"/>
        <w:ind w:firstLine="1134"/>
        <w:jc w:val="both"/>
        <w:outlineLvl w:val="0"/>
        <w:rPr>
          <w:bCs/>
          <w:sz w:val="24"/>
          <w:szCs w:val="24"/>
          <w:lang w:val="pt-BR" w:eastAsia="pt-BR" w:bidi="ar-SA"/>
        </w:rPr>
      </w:pPr>
      <w:r w:rsidRPr="00B62DA3">
        <w:rPr>
          <w:b/>
          <w:bCs/>
          <w:sz w:val="24"/>
          <w:szCs w:val="24"/>
          <w:lang w:val="pt-BR" w:eastAsia="pt-BR" w:bidi="ar-SA"/>
        </w:rPr>
        <w:t>Considerando</w:t>
      </w:r>
      <w:r w:rsidRPr="00B62DA3">
        <w:rPr>
          <w:bCs/>
          <w:sz w:val="24"/>
          <w:szCs w:val="24"/>
          <w:lang w:val="pt-BR" w:eastAsia="pt-BR" w:bidi="ar-SA"/>
        </w:rPr>
        <w:t>, ainda, que a jurisprudência do TCU tem considerado</w:t>
      </w:r>
      <w:r w:rsidR="005341CF" w:rsidRPr="00B62DA3">
        <w:rPr>
          <w:bCs/>
          <w:sz w:val="24"/>
          <w:szCs w:val="24"/>
          <w:lang w:val="pt-BR" w:eastAsia="pt-BR" w:bidi="ar-SA"/>
        </w:rPr>
        <w:t xml:space="preserve">, embora em situação distinta, </w:t>
      </w:r>
      <w:r w:rsidRPr="00B62DA3">
        <w:rPr>
          <w:bCs/>
          <w:sz w:val="24"/>
          <w:szCs w:val="24"/>
          <w:lang w:val="pt-BR" w:eastAsia="pt-BR" w:bidi="ar-SA"/>
        </w:rPr>
        <w:t>que a ausência de aplicação no mercado financeiro de verba federal recebida mediante convênio ou instrumento congênere acarreta dano aos cofres públicos, conforme os Acórdãos 1.087/2015-TCU-2ª Câmara, 1.831/2015-TCU-1ª Câmara, 3.048/2015-TCU-2ª Câmara, 7.484/2015-TCU-2ª Câmara, 7.494/2015-TCU-1ª Câmara, 7.576/2015-TCU-1ª Câma</w:t>
      </w:r>
      <w:r w:rsidR="005341CF" w:rsidRPr="00B62DA3">
        <w:rPr>
          <w:bCs/>
          <w:sz w:val="24"/>
          <w:szCs w:val="24"/>
          <w:lang w:val="pt-BR" w:eastAsia="pt-BR" w:bidi="ar-SA"/>
        </w:rPr>
        <w:t>ra e 10.043/2015-TCU-2ª Câmara;</w:t>
      </w:r>
    </w:p>
    <w:p w14:paraId="5AB4363D" w14:textId="77777777" w:rsidR="00DC2F9F" w:rsidRPr="00B62DA3" w:rsidRDefault="00DC2F9F" w:rsidP="00C71BB0">
      <w:pPr>
        <w:widowControl/>
        <w:adjustRightInd w:val="0"/>
        <w:spacing w:line="300" w:lineRule="auto"/>
        <w:ind w:firstLine="1134"/>
        <w:jc w:val="both"/>
        <w:outlineLvl w:val="0"/>
        <w:rPr>
          <w:bCs/>
          <w:sz w:val="24"/>
          <w:szCs w:val="24"/>
          <w:lang w:val="pt-BR" w:eastAsia="pt-BR" w:bidi="ar-SA"/>
        </w:rPr>
      </w:pPr>
    </w:p>
    <w:p w14:paraId="5AB4363E" w14:textId="77777777" w:rsidR="00DC2F9F" w:rsidRPr="00B62DA3" w:rsidRDefault="00DC2F9F" w:rsidP="00C71BB0">
      <w:pPr>
        <w:widowControl/>
        <w:adjustRightInd w:val="0"/>
        <w:spacing w:line="300" w:lineRule="auto"/>
        <w:ind w:firstLine="1134"/>
        <w:jc w:val="both"/>
        <w:outlineLvl w:val="0"/>
        <w:rPr>
          <w:b/>
          <w:bCs/>
          <w:sz w:val="24"/>
          <w:szCs w:val="24"/>
          <w:lang w:val="pt-BR" w:eastAsia="pt-BR" w:bidi="ar-SA"/>
        </w:rPr>
      </w:pPr>
      <w:r w:rsidRPr="00B62DA3">
        <w:rPr>
          <w:b/>
          <w:bCs/>
          <w:sz w:val="24"/>
          <w:szCs w:val="24"/>
          <w:lang w:val="pt-BR" w:eastAsia="pt-BR" w:bidi="ar-SA"/>
        </w:rPr>
        <w:t xml:space="preserve">RESOLVE: </w:t>
      </w:r>
    </w:p>
    <w:p w14:paraId="5AB4363F" w14:textId="77777777" w:rsidR="00DC2F9F" w:rsidRPr="00B62DA3" w:rsidRDefault="00DC2F9F" w:rsidP="00C71BB0">
      <w:pPr>
        <w:widowControl/>
        <w:adjustRightInd w:val="0"/>
        <w:spacing w:line="300" w:lineRule="auto"/>
        <w:ind w:firstLine="1134"/>
        <w:jc w:val="both"/>
        <w:outlineLvl w:val="0"/>
        <w:rPr>
          <w:bCs/>
          <w:sz w:val="24"/>
          <w:szCs w:val="24"/>
          <w:lang w:val="pt-BR" w:eastAsia="pt-BR" w:bidi="ar-SA"/>
        </w:rPr>
      </w:pPr>
    </w:p>
    <w:p w14:paraId="5880A4BF" w14:textId="2078F817" w:rsidR="00591B59" w:rsidRPr="00B62DA3" w:rsidRDefault="00591B59" w:rsidP="41C4D05E">
      <w:pPr>
        <w:widowControl/>
        <w:adjustRightInd w:val="0"/>
        <w:spacing w:line="300" w:lineRule="auto"/>
        <w:ind w:firstLine="1134"/>
        <w:jc w:val="both"/>
        <w:outlineLvl w:val="0"/>
        <w:rPr>
          <w:sz w:val="24"/>
          <w:szCs w:val="24"/>
          <w:lang w:val="pt-BR" w:eastAsia="pt-BR" w:bidi="ar-SA"/>
        </w:rPr>
      </w:pPr>
      <w:r w:rsidRPr="00B62DA3">
        <w:rPr>
          <w:b/>
          <w:bCs/>
          <w:sz w:val="24"/>
          <w:szCs w:val="24"/>
          <w:lang w:val="pt-BR" w:eastAsia="pt-BR" w:bidi="ar-SA"/>
        </w:rPr>
        <w:t>Art. 1º</w:t>
      </w:r>
      <w:r w:rsidRPr="00B62DA3">
        <w:rPr>
          <w:sz w:val="24"/>
          <w:szCs w:val="24"/>
          <w:lang w:val="pt-BR" w:eastAsia="pt-BR" w:bidi="ar-SA"/>
        </w:rPr>
        <w:t xml:space="preserve"> </w:t>
      </w:r>
      <w:r w:rsidR="00A45B56" w:rsidRPr="00B62DA3">
        <w:rPr>
          <w:sz w:val="24"/>
          <w:szCs w:val="24"/>
          <w:lang w:val="pt-BR" w:eastAsia="pt-BR" w:bidi="ar-SA"/>
        </w:rPr>
        <w:t>Qua</w:t>
      </w:r>
      <w:r w:rsidR="00682188" w:rsidRPr="00B62DA3">
        <w:rPr>
          <w:sz w:val="24"/>
          <w:szCs w:val="24"/>
          <w:lang w:val="pt-BR" w:eastAsia="pt-BR" w:bidi="ar-SA"/>
        </w:rPr>
        <w:t>isquer</w:t>
      </w:r>
      <w:r w:rsidRPr="00B62DA3">
        <w:rPr>
          <w:sz w:val="24"/>
          <w:szCs w:val="24"/>
          <w:lang w:val="pt-BR" w:eastAsia="pt-BR" w:bidi="ar-SA"/>
        </w:rPr>
        <w:t xml:space="preserve"> recursos financeiros </w:t>
      </w:r>
      <w:r w:rsidR="00682188" w:rsidRPr="00B62DA3">
        <w:rPr>
          <w:sz w:val="24"/>
          <w:szCs w:val="24"/>
          <w:lang w:val="pt-BR" w:eastAsia="pt-BR" w:bidi="ar-SA"/>
        </w:rPr>
        <w:t xml:space="preserve">provenientes </w:t>
      </w:r>
      <w:r w:rsidR="005842D2" w:rsidRPr="00B62DA3">
        <w:rPr>
          <w:sz w:val="24"/>
          <w:szCs w:val="24"/>
          <w:lang w:val="pt-BR" w:eastAsia="pt-BR" w:bidi="ar-SA"/>
        </w:rPr>
        <w:t>de repasses duodecimais</w:t>
      </w:r>
      <w:r w:rsidRPr="00B62DA3">
        <w:rPr>
          <w:sz w:val="24"/>
          <w:szCs w:val="24"/>
          <w:lang w:val="pt-BR" w:eastAsia="pt-BR" w:bidi="ar-SA"/>
        </w:rPr>
        <w:t xml:space="preserve">, </w:t>
      </w:r>
      <w:r w:rsidR="0037705E" w:rsidRPr="00B62DA3">
        <w:rPr>
          <w:sz w:val="24"/>
          <w:szCs w:val="24"/>
          <w:lang w:val="pt-BR" w:eastAsia="pt-BR" w:bidi="ar-SA"/>
        </w:rPr>
        <w:t xml:space="preserve">enquanto não empregados na sua finalidade, </w:t>
      </w:r>
      <w:r w:rsidR="007D7C03" w:rsidRPr="00B62DA3">
        <w:rPr>
          <w:sz w:val="24"/>
          <w:szCs w:val="24"/>
          <w:lang w:val="pt-BR" w:eastAsia="pt-BR" w:bidi="ar-SA"/>
        </w:rPr>
        <w:t xml:space="preserve">deverão ser aplicados </w:t>
      </w:r>
      <w:r w:rsidR="008B5393" w:rsidRPr="00B62DA3">
        <w:rPr>
          <w:sz w:val="24"/>
          <w:szCs w:val="24"/>
          <w:lang w:val="pt-BR" w:eastAsia="pt-BR" w:bidi="ar-SA"/>
        </w:rPr>
        <w:t>em fundo</w:t>
      </w:r>
      <w:r w:rsidR="0068108B" w:rsidRPr="00B62DA3">
        <w:rPr>
          <w:sz w:val="24"/>
          <w:szCs w:val="24"/>
          <w:lang w:val="pt-BR" w:eastAsia="pt-BR" w:bidi="ar-SA"/>
        </w:rPr>
        <w:t>s</w:t>
      </w:r>
      <w:r w:rsidR="008B5393" w:rsidRPr="00B62DA3">
        <w:rPr>
          <w:sz w:val="24"/>
          <w:szCs w:val="24"/>
          <w:lang w:val="pt-BR" w:eastAsia="pt-BR" w:bidi="ar-SA"/>
        </w:rPr>
        <w:t xml:space="preserve"> de </w:t>
      </w:r>
      <w:r w:rsidR="00E41B46" w:rsidRPr="00B62DA3">
        <w:rPr>
          <w:sz w:val="24"/>
          <w:szCs w:val="24"/>
          <w:lang w:val="pt-BR" w:eastAsia="pt-BR" w:bidi="ar-SA"/>
        </w:rPr>
        <w:t>investimento</w:t>
      </w:r>
      <w:r w:rsidR="00750C55" w:rsidRPr="00B62DA3">
        <w:rPr>
          <w:sz w:val="24"/>
          <w:szCs w:val="24"/>
          <w:lang w:val="pt-BR" w:eastAsia="pt-BR" w:bidi="ar-SA"/>
        </w:rPr>
        <w:t xml:space="preserve"> </w:t>
      </w:r>
      <w:r w:rsidR="00D03D31" w:rsidRPr="00B62DA3">
        <w:rPr>
          <w:sz w:val="24"/>
          <w:szCs w:val="24"/>
          <w:lang w:val="pt-BR" w:eastAsia="pt-BR" w:bidi="ar-SA"/>
        </w:rPr>
        <w:t xml:space="preserve">classificados como </w:t>
      </w:r>
      <w:r w:rsidR="00750C55" w:rsidRPr="00B62DA3">
        <w:rPr>
          <w:sz w:val="24"/>
          <w:szCs w:val="24"/>
          <w:lang w:val="pt-BR" w:eastAsia="pt-BR" w:bidi="ar-SA"/>
        </w:rPr>
        <w:t>renda fixa</w:t>
      </w:r>
      <w:r w:rsidR="00277B39" w:rsidRPr="00B62DA3">
        <w:rPr>
          <w:sz w:val="24"/>
          <w:szCs w:val="24"/>
          <w:lang w:val="pt-BR" w:eastAsia="pt-BR" w:bidi="ar-SA"/>
        </w:rPr>
        <w:t xml:space="preserve"> </w:t>
      </w:r>
      <w:r w:rsidR="1C87A89C" w:rsidRPr="00B62DA3">
        <w:rPr>
          <w:sz w:val="24"/>
          <w:szCs w:val="24"/>
          <w:lang w:val="pt-BR" w:eastAsia="pt-BR" w:bidi="ar-SA"/>
        </w:rPr>
        <w:t xml:space="preserve">e que possuam </w:t>
      </w:r>
      <w:r w:rsidR="00277B39" w:rsidRPr="00B62DA3">
        <w:rPr>
          <w:sz w:val="24"/>
          <w:szCs w:val="24"/>
          <w:lang w:val="pt-BR" w:eastAsia="pt-BR" w:bidi="ar-SA"/>
        </w:rPr>
        <w:t>resgate</w:t>
      </w:r>
      <w:r w:rsidR="00FA1E9B" w:rsidRPr="00B62DA3">
        <w:rPr>
          <w:sz w:val="24"/>
          <w:szCs w:val="24"/>
          <w:lang w:val="pt-BR" w:eastAsia="pt-BR" w:bidi="ar-SA"/>
        </w:rPr>
        <w:t xml:space="preserve"> imediato </w:t>
      </w:r>
      <w:r w:rsidR="00277B39" w:rsidRPr="00B62DA3">
        <w:rPr>
          <w:sz w:val="24"/>
          <w:szCs w:val="24"/>
          <w:lang w:val="pt-BR" w:eastAsia="pt-BR" w:bidi="ar-SA"/>
        </w:rPr>
        <w:t xml:space="preserve">(liquidez </w:t>
      </w:r>
      <w:r w:rsidR="00FA1E9B" w:rsidRPr="00B62DA3">
        <w:rPr>
          <w:sz w:val="24"/>
          <w:szCs w:val="24"/>
          <w:lang w:val="pt-BR" w:eastAsia="pt-BR" w:bidi="ar-SA"/>
        </w:rPr>
        <w:t>em D+0</w:t>
      </w:r>
      <w:r w:rsidR="00277B39" w:rsidRPr="00B62DA3">
        <w:rPr>
          <w:sz w:val="24"/>
          <w:szCs w:val="24"/>
          <w:lang w:val="pt-BR" w:eastAsia="pt-BR" w:bidi="ar-SA"/>
        </w:rPr>
        <w:t>)</w:t>
      </w:r>
      <w:r w:rsidR="008B5393" w:rsidRPr="00B62DA3">
        <w:rPr>
          <w:sz w:val="24"/>
          <w:szCs w:val="24"/>
          <w:lang w:val="pt-BR" w:eastAsia="pt-BR" w:bidi="ar-SA"/>
        </w:rPr>
        <w:t xml:space="preserve"> </w:t>
      </w:r>
      <w:r w:rsidR="00AA4954" w:rsidRPr="00B62DA3">
        <w:rPr>
          <w:sz w:val="24"/>
          <w:szCs w:val="24"/>
          <w:lang w:val="pt-BR" w:eastAsia="pt-BR" w:bidi="ar-SA"/>
        </w:rPr>
        <w:t xml:space="preserve">ou </w:t>
      </w:r>
      <w:r w:rsidR="00B13A88" w:rsidRPr="00B62DA3">
        <w:rPr>
          <w:sz w:val="24"/>
          <w:szCs w:val="24"/>
          <w:lang w:val="pt-BR" w:eastAsia="pt-BR" w:bidi="ar-SA"/>
        </w:rPr>
        <w:t xml:space="preserve">títulos </w:t>
      </w:r>
      <w:r w:rsidR="007216DE" w:rsidRPr="00B62DA3">
        <w:rPr>
          <w:sz w:val="24"/>
          <w:szCs w:val="24"/>
          <w:lang w:val="pt-BR" w:eastAsia="pt-BR" w:bidi="ar-SA"/>
        </w:rPr>
        <w:t xml:space="preserve">públicos </w:t>
      </w:r>
      <w:r w:rsidR="00B13A88" w:rsidRPr="00B62DA3">
        <w:rPr>
          <w:sz w:val="24"/>
          <w:szCs w:val="24"/>
          <w:lang w:val="pt-BR" w:eastAsia="pt-BR" w:bidi="ar-SA"/>
        </w:rPr>
        <w:t>de emissão do Tesouro Nacional</w:t>
      </w:r>
      <w:r w:rsidR="00AD576E" w:rsidRPr="00B62DA3">
        <w:rPr>
          <w:sz w:val="24"/>
          <w:szCs w:val="24"/>
          <w:lang w:val="pt-BR" w:eastAsia="pt-BR" w:bidi="ar-SA"/>
        </w:rPr>
        <w:t>,</w:t>
      </w:r>
      <w:r w:rsidR="00B13A88" w:rsidRPr="00B62DA3">
        <w:rPr>
          <w:sz w:val="24"/>
          <w:szCs w:val="24"/>
          <w:lang w:val="pt-BR" w:eastAsia="pt-BR" w:bidi="ar-SA"/>
        </w:rPr>
        <w:t xml:space="preserve"> </w:t>
      </w:r>
      <w:r w:rsidR="006C0B0B" w:rsidRPr="00B62DA3">
        <w:rPr>
          <w:sz w:val="24"/>
          <w:szCs w:val="24"/>
          <w:lang w:val="pt-BR" w:eastAsia="pt-BR" w:bidi="ar-SA"/>
        </w:rPr>
        <w:t>visando</w:t>
      </w:r>
      <w:r w:rsidR="00982A3F" w:rsidRPr="00B62DA3">
        <w:rPr>
          <w:sz w:val="24"/>
          <w:szCs w:val="24"/>
          <w:lang w:val="pt-BR" w:eastAsia="pt-BR" w:bidi="ar-SA"/>
        </w:rPr>
        <w:t xml:space="preserve"> </w:t>
      </w:r>
      <w:proofErr w:type="gramStart"/>
      <w:r w:rsidR="00982A3F" w:rsidRPr="00B62DA3">
        <w:rPr>
          <w:sz w:val="24"/>
          <w:szCs w:val="24"/>
          <w:lang w:val="pt-BR" w:eastAsia="pt-BR" w:bidi="ar-SA"/>
        </w:rPr>
        <w:t>a</w:t>
      </w:r>
      <w:proofErr w:type="gramEnd"/>
      <w:r w:rsidRPr="00B62DA3">
        <w:rPr>
          <w:sz w:val="24"/>
          <w:szCs w:val="24"/>
          <w:lang w:val="pt-BR" w:eastAsia="pt-BR" w:bidi="ar-SA"/>
        </w:rPr>
        <w:t xml:space="preserve"> preserva</w:t>
      </w:r>
      <w:r w:rsidR="00982A3F" w:rsidRPr="00B62DA3">
        <w:rPr>
          <w:sz w:val="24"/>
          <w:szCs w:val="24"/>
          <w:lang w:val="pt-BR" w:eastAsia="pt-BR" w:bidi="ar-SA"/>
        </w:rPr>
        <w:t>ção</w:t>
      </w:r>
      <w:r w:rsidRPr="00B62DA3">
        <w:rPr>
          <w:sz w:val="24"/>
          <w:szCs w:val="24"/>
          <w:lang w:val="pt-BR" w:eastAsia="pt-BR" w:bidi="ar-SA"/>
        </w:rPr>
        <w:t xml:space="preserve"> </w:t>
      </w:r>
      <w:r w:rsidR="00982A3F" w:rsidRPr="00B62DA3">
        <w:rPr>
          <w:sz w:val="24"/>
          <w:szCs w:val="24"/>
          <w:lang w:val="pt-BR" w:eastAsia="pt-BR" w:bidi="ar-SA"/>
        </w:rPr>
        <w:t>d</w:t>
      </w:r>
      <w:r w:rsidRPr="00B62DA3">
        <w:rPr>
          <w:sz w:val="24"/>
          <w:szCs w:val="24"/>
          <w:lang w:val="pt-BR" w:eastAsia="pt-BR" w:bidi="ar-SA"/>
        </w:rPr>
        <w:t>o poder de compra.</w:t>
      </w:r>
    </w:p>
    <w:p w14:paraId="2D5D82F6" w14:textId="3915F85A" w:rsidR="00A86EDF" w:rsidRPr="00B62DA3" w:rsidRDefault="00DA75FA" w:rsidP="008B5393">
      <w:pPr>
        <w:widowControl/>
        <w:adjustRightInd w:val="0"/>
        <w:spacing w:line="300" w:lineRule="auto"/>
        <w:ind w:firstLine="1134"/>
        <w:jc w:val="both"/>
        <w:outlineLvl w:val="0"/>
        <w:rPr>
          <w:bCs/>
          <w:sz w:val="24"/>
          <w:szCs w:val="24"/>
          <w:lang w:val="pt-BR" w:eastAsia="pt-BR" w:bidi="ar-SA"/>
        </w:rPr>
      </w:pPr>
      <w:r w:rsidRPr="00B62DA3">
        <w:rPr>
          <w:b/>
          <w:bCs/>
          <w:sz w:val="24"/>
          <w:szCs w:val="24"/>
          <w:lang w:val="pt-BR" w:eastAsia="pt-BR" w:bidi="ar-SA"/>
        </w:rPr>
        <w:t>§</w:t>
      </w:r>
      <w:r w:rsidR="002209E5" w:rsidRPr="00B62DA3">
        <w:rPr>
          <w:b/>
          <w:bCs/>
          <w:sz w:val="24"/>
          <w:szCs w:val="24"/>
          <w:lang w:val="pt-BR" w:eastAsia="pt-BR" w:bidi="ar-SA"/>
        </w:rPr>
        <w:t>1</w:t>
      </w:r>
      <w:r w:rsidRPr="00B62DA3">
        <w:rPr>
          <w:b/>
          <w:bCs/>
          <w:sz w:val="24"/>
          <w:szCs w:val="24"/>
          <w:lang w:val="pt-BR" w:eastAsia="pt-BR" w:bidi="ar-SA"/>
        </w:rPr>
        <w:t xml:space="preserve">º </w:t>
      </w:r>
      <w:r w:rsidR="00015142" w:rsidRPr="00B62DA3">
        <w:rPr>
          <w:sz w:val="24"/>
          <w:szCs w:val="24"/>
          <w:lang w:val="pt-BR" w:eastAsia="pt-BR" w:bidi="ar-SA"/>
        </w:rPr>
        <w:t>Os recursos mencionados no caput deste artigo devem ser aplicados na mesma instituição financeira responsável pela gestão dos recursos recebidos.</w:t>
      </w:r>
    </w:p>
    <w:p w14:paraId="760BB815" w14:textId="135DC336" w:rsidR="007716C5" w:rsidRPr="00B62DA3" w:rsidRDefault="007E15B4" w:rsidP="41C4D05E">
      <w:pPr>
        <w:widowControl/>
        <w:adjustRightInd w:val="0"/>
        <w:spacing w:line="300" w:lineRule="auto"/>
        <w:ind w:firstLine="1134"/>
        <w:jc w:val="both"/>
        <w:outlineLvl w:val="0"/>
        <w:rPr>
          <w:sz w:val="24"/>
          <w:szCs w:val="24"/>
          <w:lang w:val="pt-BR" w:eastAsia="pt-BR" w:bidi="ar-SA"/>
        </w:rPr>
      </w:pPr>
      <w:r w:rsidRPr="00B62DA3">
        <w:rPr>
          <w:b/>
          <w:bCs/>
          <w:sz w:val="24"/>
          <w:szCs w:val="24"/>
          <w:lang w:val="pt-BR" w:eastAsia="pt-BR" w:bidi="ar-SA"/>
        </w:rPr>
        <w:lastRenderedPageBreak/>
        <w:t>§</w:t>
      </w:r>
      <w:r w:rsidR="021B549F" w:rsidRPr="00B62DA3">
        <w:rPr>
          <w:b/>
          <w:bCs/>
          <w:sz w:val="24"/>
          <w:szCs w:val="24"/>
          <w:lang w:val="pt-BR" w:eastAsia="pt-BR" w:bidi="ar-SA"/>
        </w:rPr>
        <w:t>2</w:t>
      </w:r>
      <w:r w:rsidR="008C10FE" w:rsidRPr="00B62DA3">
        <w:rPr>
          <w:b/>
          <w:bCs/>
          <w:sz w:val="24"/>
          <w:szCs w:val="24"/>
          <w:lang w:val="pt-BR" w:eastAsia="pt-BR" w:bidi="ar-SA"/>
        </w:rPr>
        <w:t xml:space="preserve">º </w:t>
      </w:r>
      <w:r w:rsidR="00EE614C" w:rsidRPr="00B62DA3">
        <w:rPr>
          <w:sz w:val="24"/>
          <w:szCs w:val="24"/>
          <w:lang w:val="pt-BR" w:eastAsia="pt-BR" w:bidi="ar-SA"/>
        </w:rPr>
        <w:t>O</w:t>
      </w:r>
      <w:r w:rsidR="007716C5" w:rsidRPr="00B62DA3">
        <w:rPr>
          <w:sz w:val="24"/>
          <w:szCs w:val="24"/>
          <w:lang w:val="pt-BR" w:eastAsia="pt-BR" w:bidi="ar-SA"/>
        </w:rPr>
        <w:t>s</w:t>
      </w:r>
      <w:r w:rsidR="00EE614C" w:rsidRPr="00B62DA3">
        <w:rPr>
          <w:sz w:val="24"/>
          <w:szCs w:val="24"/>
          <w:lang w:val="pt-BR" w:eastAsia="pt-BR" w:bidi="ar-SA"/>
        </w:rPr>
        <w:t xml:space="preserve"> Poder</w:t>
      </w:r>
      <w:r w:rsidR="007716C5" w:rsidRPr="00B62DA3">
        <w:rPr>
          <w:sz w:val="24"/>
          <w:szCs w:val="24"/>
          <w:lang w:val="pt-BR" w:eastAsia="pt-BR" w:bidi="ar-SA"/>
        </w:rPr>
        <w:t>es</w:t>
      </w:r>
      <w:r w:rsidR="00EE614C" w:rsidRPr="00B62DA3">
        <w:rPr>
          <w:sz w:val="24"/>
          <w:szCs w:val="24"/>
          <w:lang w:val="pt-BR" w:eastAsia="pt-BR" w:bidi="ar-SA"/>
        </w:rPr>
        <w:t xml:space="preserve"> poder</w:t>
      </w:r>
      <w:r w:rsidR="007716C5" w:rsidRPr="00B62DA3">
        <w:rPr>
          <w:sz w:val="24"/>
          <w:szCs w:val="24"/>
          <w:lang w:val="pt-BR" w:eastAsia="pt-BR" w:bidi="ar-SA"/>
        </w:rPr>
        <w:t>ão</w:t>
      </w:r>
      <w:r w:rsidR="00EE614C" w:rsidRPr="00B62DA3">
        <w:rPr>
          <w:b/>
          <w:bCs/>
          <w:sz w:val="24"/>
          <w:szCs w:val="24"/>
          <w:lang w:val="pt-BR" w:eastAsia="pt-BR" w:bidi="ar-SA"/>
        </w:rPr>
        <w:t xml:space="preserve"> </w:t>
      </w:r>
      <w:r w:rsidR="00EE614C" w:rsidRPr="00B62DA3">
        <w:rPr>
          <w:sz w:val="24"/>
          <w:szCs w:val="24"/>
          <w:lang w:val="pt-BR" w:eastAsia="pt-BR" w:bidi="ar-SA"/>
        </w:rPr>
        <w:t xml:space="preserve">manter a posse sobre </w:t>
      </w:r>
      <w:r w:rsidR="0053405E" w:rsidRPr="00B62DA3">
        <w:rPr>
          <w:sz w:val="24"/>
          <w:szCs w:val="24"/>
          <w:lang w:val="pt-BR" w:eastAsia="pt-BR" w:bidi="ar-SA"/>
        </w:rPr>
        <w:t>os</w:t>
      </w:r>
      <w:r w:rsidR="00EE614C" w:rsidRPr="00B62DA3">
        <w:rPr>
          <w:sz w:val="24"/>
          <w:szCs w:val="24"/>
          <w:lang w:val="pt-BR" w:eastAsia="pt-BR" w:bidi="ar-SA"/>
        </w:rPr>
        <w:t xml:space="preserve"> </w:t>
      </w:r>
      <w:r w:rsidR="00BE2016" w:rsidRPr="00B62DA3">
        <w:rPr>
          <w:sz w:val="24"/>
          <w:szCs w:val="24"/>
          <w:lang w:val="pt-BR" w:eastAsia="pt-BR" w:bidi="ar-SA"/>
        </w:rPr>
        <w:t xml:space="preserve">recursos oriundos das aplicações financeiras previstas </w:t>
      </w:r>
      <w:r w:rsidR="0053405E" w:rsidRPr="00B62DA3">
        <w:rPr>
          <w:sz w:val="24"/>
          <w:szCs w:val="24"/>
          <w:lang w:val="pt-BR" w:eastAsia="pt-BR" w:bidi="ar-SA"/>
        </w:rPr>
        <w:t>no caput</w:t>
      </w:r>
      <w:r w:rsidR="00037658" w:rsidRPr="00B62DA3">
        <w:rPr>
          <w:sz w:val="24"/>
          <w:szCs w:val="24"/>
          <w:lang w:val="pt-BR" w:eastAsia="pt-BR" w:bidi="ar-SA"/>
        </w:rPr>
        <w:t xml:space="preserve"> deste artigo</w:t>
      </w:r>
      <w:r w:rsidR="00EE614C" w:rsidRPr="00B62DA3">
        <w:rPr>
          <w:sz w:val="24"/>
          <w:szCs w:val="24"/>
          <w:lang w:val="pt-BR" w:eastAsia="pt-BR" w:bidi="ar-SA"/>
        </w:rPr>
        <w:t>, utilizando-os para o cumprimento de suas despesas orçamentárias, previstas originalmente na Lei Orçamentária Anual ou incluídas por meio de créditos adicionais</w:t>
      </w:r>
      <w:r w:rsidR="007716C5" w:rsidRPr="00B62DA3">
        <w:rPr>
          <w:sz w:val="24"/>
          <w:szCs w:val="24"/>
          <w:lang w:val="pt-BR" w:eastAsia="pt-BR" w:bidi="ar-SA"/>
        </w:rPr>
        <w:t>.</w:t>
      </w:r>
    </w:p>
    <w:p w14:paraId="20113478" w14:textId="2DCA5131" w:rsidR="008C10FE" w:rsidRPr="00B62DA3" w:rsidRDefault="002D39AF" w:rsidP="1FC76364">
      <w:pPr>
        <w:widowControl/>
        <w:adjustRightInd w:val="0"/>
        <w:spacing w:line="300" w:lineRule="auto"/>
        <w:ind w:firstLine="1134"/>
        <w:jc w:val="both"/>
        <w:outlineLvl w:val="0"/>
        <w:rPr>
          <w:sz w:val="24"/>
          <w:szCs w:val="24"/>
          <w:lang w:val="pt-BR" w:eastAsia="pt-BR" w:bidi="ar-SA"/>
        </w:rPr>
      </w:pPr>
      <w:r w:rsidRPr="00B62DA3">
        <w:rPr>
          <w:b/>
          <w:bCs/>
          <w:sz w:val="24"/>
          <w:szCs w:val="24"/>
          <w:lang w:val="pt-BR" w:eastAsia="pt-BR" w:bidi="ar-SA"/>
        </w:rPr>
        <w:t>§</w:t>
      </w:r>
      <w:r w:rsidR="7C028E69" w:rsidRPr="00B62DA3">
        <w:rPr>
          <w:b/>
          <w:bCs/>
          <w:sz w:val="24"/>
          <w:szCs w:val="24"/>
          <w:lang w:val="pt-BR" w:eastAsia="pt-BR" w:bidi="ar-SA"/>
        </w:rPr>
        <w:t>3</w:t>
      </w:r>
      <w:r w:rsidRPr="00B62DA3">
        <w:rPr>
          <w:b/>
          <w:bCs/>
          <w:sz w:val="24"/>
          <w:szCs w:val="24"/>
          <w:lang w:val="pt-BR" w:eastAsia="pt-BR" w:bidi="ar-SA"/>
        </w:rPr>
        <w:t>º</w:t>
      </w:r>
      <w:r w:rsidR="007716C5" w:rsidRPr="00B62DA3">
        <w:rPr>
          <w:sz w:val="24"/>
          <w:szCs w:val="24"/>
          <w:lang w:val="pt-BR" w:eastAsia="pt-BR" w:bidi="ar-SA"/>
        </w:rPr>
        <w:t xml:space="preserve"> </w:t>
      </w:r>
      <w:r w:rsidR="009F0ED8" w:rsidRPr="00B62DA3">
        <w:rPr>
          <w:sz w:val="24"/>
          <w:szCs w:val="24"/>
          <w:lang w:val="pt-BR" w:eastAsia="pt-BR" w:bidi="ar-SA"/>
        </w:rPr>
        <w:t xml:space="preserve">Os Poderes Legislativos </w:t>
      </w:r>
      <w:r w:rsidR="005422AD" w:rsidRPr="00B62DA3">
        <w:rPr>
          <w:sz w:val="24"/>
          <w:szCs w:val="24"/>
          <w:lang w:val="pt-BR" w:eastAsia="pt-BR" w:bidi="ar-SA"/>
        </w:rPr>
        <w:t xml:space="preserve">Municipais </w:t>
      </w:r>
      <w:r w:rsidR="009F0ED8" w:rsidRPr="00B62DA3">
        <w:rPr>
          <w:sz w:val="24"/>
          <w:szCs w:val="24"/>
          <w:lang w:val="pt-BR" w:eastAsia="pt-BR" w:bidi="ar-SA"/>
        </w:rPr>
        <w:t xml:space="preserve">deverão observar, em qualquer caso, </w:t>
      </w:r>
      <w:r w:rsidR="00FC0C33" w:rsidRPr="00B62DA3">
        <w:rPr>
          <w:sz w:val="24"/>
          <w:szCs w:val="24"/>
          <w:lang w:val="pt-BR" w:eastAsia="pt-BR" w:bidi="ar-SA"/>
        </w:rPr>
        <w:t>os limites estabelecidos no art. 29-A da Constituição Federal</w:t>
      </w:r>
      <w:r w:rsidR="005422AD" w:rsidRPr="00B62DA3">
        <w:rPr>
          <w:sz w:val="24"/>
          <w:szCs w:val="24"/>
          <w:lang w:val="pt-BR" w:eastAsia="pt-BR" w:bidi="ar-SA"/>
        </w:rPr>
        <w:t>, bem como a Instrução Normativa TCE-PI nº 01/2014 e alterações posteriores</w:t>
      </w:r>
      <w:r w:rsidR="00C71369" w:rsidRPr="00B62DA3">
        <w:rPr>
          <w:sz w:val="24"/>
          <w:szCs w:val="24"/>
          <w:lang w:val="pt-BR" w:eastAsia="pt-BR" w:bidi="ar-SA"/>
        </w:rPr>
        <w:t xml:space="preserve">, </w:t>
      </w:r>
      <w:r w:rsidR="00007FD9" w:rsidRPr="00B62DA3">
        <w:rPr>
          <w:sz w:val="24"/>
          <w:szCs w:val="24"/>
          <w:lang w:val="pt-BR" w:eastAsia="pt-BR" w:bidi="ar-SA"/>
        </w:rPr>
        <w:t>em especial o Capítulo IV que trata do saldo financeiro no final do exercício</w:t>
      </w:r>
      <w:r w:rsidR="00B97B5C" w:rsidRPr="00B62DA3">
        <w:rPr>
          <w:sz w:val="24"/>
          <w:szCs w:val="24"/>
          <w:lang w:val="pt-BR" w:eastAsia="pt-BR" w:bidi="ar-SA"/>
        </w:rPr>
        <w:t>.</w:t>
      </w:r>
    </w:p>
    <w:p w14:paraId="12DAEEC4" w14:textId="0E583404" w:rsidR="1AD5D396" w:rsidRPr="00B62DA3" w:rsidRDefault="1AD5D396" w:rsidP="1FC76364">
      <w:pPr>
        <w:widowControl/>
        <w:spacing w:line="300" w:lineRule="auto"/>
        <w:ind w:firstLine="1134"/>
        <w:jc w:val="both"/>
        <w:outlineLvl w:val="0"/>
        <w:rPr>
          <w:sz w:val="24"/>
          <w:szCs w:val="24"/>
          <w:lang w:val="pt-BR" w:eastAsia="pt-BR" w:bidi="ar-SA"/>
        </w:rPr>
      </w:pPr>
      <w:r w:rsidRPr="00B62DA3">
        <w:rPr>
          <w:b/>
          <w:bCs/>
          <w:sz w:val="24"/>
          <w:szCs w:val="24"/>
          <w:lang w:val="pt-BR" w:eastAsia="pt-BR" w:bidi="ar-SA"/>
        </w:rPr>
        <w:t xml:space="preserve">§4º </w:t>
      </w:r>
      <w:r w:rsidRPr="00B62DA3">
        <w:rPr>
          <w:sz w:val="24"/>
          <w:szCs w:val="24"/>
          <w:lang w:val="pt-BR" w:eastAsia="pt-BR" w:bidi="ar-SA"/>
        </w:rPr>
        <w:t>Na aplicação dos recursos mencionados no caput deste artigo deverão ser observados os princípios de segurança, rentabilidade, liquidez e transparência.</w:t>
      </w:r>
    </w:p>
    <w:p w14:paraId="4DD3FC3E" w14:textId="77777777" w:rsidR="00591B59" w:rsidRPr="00B62DA3" w:rsidRDefault="00591B59" w:rsidP="00C71BB0">
      <w:pPr>
        <w:widowControl/>
        <w:adjustRightInd w:val="0"/>
        <w:spacing w:line="300" w:lineRule="auto"/>
        <w:ind w:firstLine="1134"/>
        <w:jc w:val="both"/>
        <w:outlineLvl w:val="0"/>
        <w:rPr>
          <w:bCs/>
          <w:sz w:val="24"/>
          <w:szCs w:val="24"/>
          <w:lang w:val="pt-BR" w:eastAsia="pt-BR" w:bidi="ar-SA"/>
        </w:rPr>
      </w:pPr>
    </w:p>
    <w:p w14:paraId="5AB43642" w14:textId="28F13A21" w:rsidR="002F2C67" w:rsidRPr="00B62DA3" w:rsidRDefault="002F2C67" w:rsidP="41C4D05E">
      <w:pPr>
        <w:widowControl/>
        <w:adjustRightInd w:val="0"/>
        <w:spacing w:line="300" w:lineRule="auto"/>
        <w:ind w:firstLine="1134"/>
        <w:jc w:val="both"/>
        <w:outlineLvl w:val="0"/>
        <w:rPr>
          <w:sz w:val="24"/>
          <w:szCs w:val="24"/>
          <w:lang w:val="pt-BR" w:eastAsia="pt-BR"/>
        </w:rPr>
      </w:pPr>
      <w:r w:rsidRPr="00B62DA3">
        <w:rPr>
          <w:b/>
          <w:bCs/>
          <w:sz w:val="24"/>
          <w:szCs w:val="24"/>
          <w:lang w:val="pt-BR" w:eastAsia="pt-BR" w:bidi="ar-SA"/>
        </w:rPr>
        <w:t xml:space="preserve">Art. </w:t>
      </w:r>
      <w:r w:rsidR="0CA03797" w:rsidRPr="00B62DA3">
        <w:rPr>
          <w:b/>
          <w:bCs/>
          <w:sz w:val="24"/>
          <w:szCs w:val="24"/>
          <w:lang w:val="pt-BR" w:eastAsia="pt-BR" w:bidi="ar-SA"/>
        </w:rPr>
        <w:t>2</w:t>
      </w:r>
      <w:r w:rsidRPr="00B62DA3">
        <w:rPr>
          <w:b/>
          <w:bCs/>
          <w:sz w:val="24"/>
          <w:szCs w:val="24"/>
          <w:lang w:val="pt-BR" w:eastAsia="pt-BR" w:bidi="ar-SA"/>
        </w:rPr>
        <w:t>º</w:t>
      </w:r>
      <w:r w:rsidRPr="00B62DA3">
        <w:rPr>
          <w:sz w:val="24"/>
          <w:szCs w:val="24"/>
          <w:lang w:val="pt-BR" w:eastAsia="pt-BR" w:bidi="ar-SA"/>
        </w:rPr>
        <w:t xml:space="preserve"> Esta Nota Técnica entra em vigor na data da sua publicação.</w:t>
      </w:r>
    </w:p>
    <w:p w14:paraId="5AB43643" w14:textId="77777777" w:rsidR="00BC7413" w:rsidRDefault="00BC7413" w:rsidP="00C71BB0">
      <w:pPr>
        <w:widowControl/>
        <w:adjustRightInd w:val="0"/>
        <w:spacing w:line="300" w:lineRule="auto"/>
        <w:ind w:firstLine="1134"/>
        <w:jc w:val="both"/>
        <w:outlineLvl w:val="0"/>
        <w:rPr>
          <w:bCs/>
          <w:sz w:val="24"/>
          <w:szCs w:val="24"/>
          <w:lang w:val="pt-BR" w:eastAsia="pt-BR" w:bidi="ar-SA"/>
        </w:rPr>
      </w:pPr>
    </w:p>
    <w:p w14:paraId="0A44B3F2" w14:textId="77777777" w:rsidR="00B62DA3" w:rsidRDefault="00B62DA3" w:rsidP="00B62DA3">
      <w:pPr>
        <w:shd w:val="clear" w:color="auto" w:fill="FFFFFF"/>
        <w:spacing w:line="360" w:lineRule="auto"/>
        <w:ind w:firstLine="709"/>
        <w:jc w:val="both"/>
        <w:rPr>
          <w:color w:val="FF0000"/>
          <w:sz w:val="24"/>
          <w:szCs w:val="24"/>
        </w:rPr>
      </w:pPr>
      <w:r w:rsidRPr="00C04917">
        <w:rPr>
          <w:color w:val="000000"/>
          <w:sz w:val="24"/>
          <w:szCs w:val="24"/>
        </w:rPr>
        <w:t xml:space="preserve">Sala das Sessões do Tribunal de Contas do Estado do Piauí, em Teresina, </w:t>
      </w:r>
      <w:r w:rsidRPr="00C76B15">
        <w:rPr>
          <w:sz w:val="24"/>
          <w:szCs w:val="24"/>
        </w:rPr>
        <w:t>26 de outubro de 2023.</w:t>
      </w:r>
    </w:p>
    <w:p w14:paraId="08B80450" w14:textId="77777777" w:rsidR="00B62DA3" w:rsidRPr="00C76B15" w:rsidRDefault="00B62DA3" w:rsidP="00B62DA3">
      <w:pPr>
        <w:shd w:val="clear" w:color="auto" w:fill="FFFFFF"/>
        <w:spacing w:line="360" w:lineRule="auto"/>
        <w:ind w:firstLine="709"/>
        <w:jc w:val="both"/>
        <w:rPr>
          <w:color w:val="FF0000"/>
          <w:sz w:val="24"/>
          <w:szCs w:val="24"/>
        </w:rPr>
      </w:pPr>
    </w:p>
    <w:p w14:paraId="1196395C" w14:textId="77777777"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proofErr w:type="spellStart"/>
      <w:r w:rsidRPr="00397CF4">
        <w:rPr>
          <w:rFonts w:eastAsia="Calibri"/>
          <w:kern w:val="2"/>
          <w:sz w:val="24"/>
          <w:szCs w:val="24"/>
          <w:lang w:val="pt-BR" w:eastAsia="en-US" w:bidi="ar-SA"/>
          <w14:ligatures w14:val="standardContextual"/>
        </w:rPr>
        <w:t>Consª</w:t>
      </w:r>
      <w:proofErr w:type="spellEnd"/>
      <w:r w:rsidRPr="00397CF4">
        <w:rPr>
          <w:rFonts w:eastAsia="Calibri"/>
          <w:kern w:val="2"/>
          <w:sz w:val="24"/>
          <w:szCs w:val="24"/>
          <w:lang w:val="pt-BR" w:eastAsia="en-US" w:bidi="ar-SA"/>
          <w14:ligatures w14:val="standardContextual"/>
        </w:rPr>
        <w:t xml:space="preserve">. </w:t>
      </w:r>
      <w:hyperlink r:id="rId8" w:history="1">
        <w:proofErr w:type="spellStart"/>
        <w:r w:rsidRPr="00397CF4">
          <w:rPr>
            <w:rFonts w:eastAsia="Calibri"/>
            <w:kern w:val="2"/>
            <w:sz w:val="24"/>
            <w:szCs w:val="24"/>
            <w:lang w:val="pt-BR" w:eastAsia="en-US" w:bidi="ar-SA"/>
            <w14:ligatures w14:val="standardContextual"/>
          </w:rPr>
          <w:t>Waltânia</w:t>
        </w:r>
        <w:proofErr w:type="spellEnd"/>
        <w:r w:rsidRPr="00397CF4">
          <w:rPr>
            <w:rFonts w:eastAsia="Calibri"/>
            <w:kern w:val="2"/>
            <w:sz w:val="24"/>
            <w:szCs w:val="24"/>
            <w:lang w:val="pt-BR" w:eastAsia="en-US" w:bidi="ar-SA"/>
            <w14:ligatures w14:val="standardContextual"/>
          </w:rPr>
          <w:t xml:space="preserve"> Maria N. de Sousa Leal Alvarenga</w:t>
        </w:r>
      </w:hyperlink>
      <w:r w:rsidRPr="00397CF4">
        <w:rPr>
          <w:rFonts w:eastAsia="Calibri"/>
          <w:kern w:val="2"/>
          <w:sz w:val="24"/>
          <w:szCs w:val="24"/>
          <w:lang w:val="pt-BR" w:eastAsia="en-US" w:bidi="ar-SA"/>
          <w14:ligatures w14:val="standardContextual"/>
        </w:rPr>
        <w:t xml:space="preserve"> – </w:t>
      </w:r>
      <w:r w:rsidRPr="00397CF4">
        <w:rPr>
          <w:rFonts w:eastAsia="Calibri"/>
          <w:b/>
          <w:kern w:val="2"/>
          <w:sz w:val="24"/>
          <w:szCs w:val="24"/>
          <w:lang w:val="pt-BR" w:eastAsia="en-US" w:bidi="ar-SA"/>
          <w14:ligatures w14:val="standardContextual"/>
        </w:rPr>
        <w:t>Presidente em exercício</w:t>
      </w:r>
    </w:p>
    <w:p w14:paraId="4B234A2D" w14:textId="77777777"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r w:rsidRPr="00397CF4">
        <w:rPr>
          <w:rFonts w:eastAsia="Calibri"/>
          <w:kern w:val="2"/>
          <w:sz w:val="24"/>
          <w:szCs w:val="24"/>
          <w:lang w:val="pt-BR" w:eastAsia="en-US" w:bidi="ar-SA"/>
          <w14:ligatures w14:val="standardContextual"/>
        </w:rPr>
        <w:t xml:space="preserve">Cons. Abelardo Pio Vilanova e Silva </w:t>
      </w:r>
    </w:p>
    <w:p w14:paraId="23E16C54" w14:textId="77777777"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proofErr w:type="spellStart"/>
      <w:r w:rsidRPr="00397CF4">
        <w:rPr>
          <w:rFonts w:eastAsia="Calibri"/>
          <w:kern w:val="2"/>
          <w:sz w:val="24"/>
          <w:szCs w:val="24"/>
          <w:lang w:val="pt-BR" w:eastAsia="en-US" w:bidi="ar-SA"/>
          <w14:ligatures w14:val="standardContextual"/>
        </w:rPr>
        <w:t>Consª</w:t>
      </w:r>
      <w:proofErr w:type="spellEnd"/>
      <w:r w:rsidRPr="00397CF4">
        <w:rPr>
          <w:rFonts w:eastAsia="Calibri"/>
          <w:kern w:val="2"/>
          <w:sz w:val="24"/>
          <w:szCs w:val="24"/>
          <w:lang w:val="pt-BR" w:eastAsia="en-US" w:bidi="ar-SA"/>
          <w14:ligatures w14:val="standardContextual"/>
        </w:rPr>
        <w:t xml:space="preserve">. </w:t>
      </w:r>
      <w:hyperlink r:id="rId9" w:history="1">
        <w:r w:rsidRPr="00397CF4">
          <w:rPr>
            <w:rFonts w:eastAsia="Calibri"/>
            <w:kern w:val="2"/>
            <w:sz w:val="24"/>
            <w:szCs w:val="24"/>
            <w:lang w:val="pt-BR" w:eastAsia="en-US" w:bidi="ar-SA"/>
            <w14:ligatures w14:val="standardContextual"/>
          </w:rPr>
          <w:t>Lilian de Almeida Veloso Nunes Martins</w:t>
        </w:r>
      </w:hyperlink>
    </w:p>
    <w:p w14:paraId="1A058D0A" w14:textId="77777777"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proofErr w:type="spellStart"/>
      <w:r w:rsidRPr="00397CF4">
        <w:rPr>
          <w:rFonts w:eastAsia="Calibri"/>
          <w:kern w:val="2"/>
          <w:sz w:val="24"/>
          <w:szCs w:val="24"/>
          <w:lang w:val="pt-BR" w:eastAsia="en-US" w:bidi="ar-SA"/>
          <w14:ligatures w14:val="standardContextual"/>
        </w:rPr>
        <w:t>Consª</w:t>
      </w:r>
      <w:proofErr w:type="spellEnd"/>
      <w:r w:rsidRPr="00397CF4">
        <w:rPr>
          <w:rFonts w:eastAsia="Calibri"/>
          <w:kern w:val="2"/>
          <w:sz w:val="24"/>
          <w:szCs w:val="24"/>
          <w:lang w:val="pt-BR" w:eastAsia="en-US" w:bidi="ar-SA"/>
          <w14:ligatures w14:val="standardContextual"/>
        </w:rPr>
        <w:t xml:space="preserve">. </w:t>
      </w:r>
      <w:hyperlink r:id="rId10" w:history="1">
        <w:r w:rsidRPr="00397CF4">
          <w:rPr>
            <w:rFonts w:eastAsia="Calibri"/>
            <w:kern w:val="2"/>
            <w:sz w:val="24"/>
            <w:szCs w:val="24"/>
            <w:lang w:val="pt-BR" w:eastAsia="en-US" w:bidi="ar-SA"/>
            <w14:ligatures w14:val="standardContextual"/>
          </w:rPr>
          <w:t>Flora</w:t>
        </w:r>
      </w:hyperlink>
      <w:r w:rsidRPr="00397CF4">
        <w:rPr>
          <w:rFonts w:eastAsia="Calibri"/>
          <w:kern w:val="2"/>
          <w:sz w:val="24"/>
          <w:szCs w:val="24"/>
          <w:lang w:val="pt-BR" w:eastAsia="en-US" w:bidi="ar-SA"/>
          <w14:ligatures w14:val="standardContextual"/>
        </w:rPr>
        <w:t xml:space="preserve"> Izabel Nobre Rodrigues</w:t>
      </w:r>
    </w:p>
    <w:p w14:paraId="620066C9" w14:textId="77777777" w:rsidR="00397CF4" w:rsidRPr="00397CF4" w:rsidRDefault="00397CF4" w:rsidP="00397CF4">
      <w:pPr>
        <w:widowControl/>
        <w:autoSpaceDE/>
        <w:autoSpaceDN/>
        <w:jc w:val="both"/>
        <w:rPr>
          <w:rFonts w:eastAsia="Calibri"/>
          <w:kern w:val="2"/>
          <w:sz w:val="24"/>
          <w:szCs w:val="24"/>
          <w:lang w:val="pt-BR" w:eastAsia="en-US" w:bidi="ar-SA"/>
          <w14:ligatures w14:val="standardContextual"/>
        </w:rPr>
      </w:pPr>
      <w:r w:rsidRPr="00397CF4">
        <w:rPr>
          <w:rFonts w:eastAsia="Calibri"/>
          <w:kern w:val="2"/>
          <w:sz w:val="24"/>
          <w:szCs w:val="24"/>
          <w:lang w:val="pt-BR" w:eastAsia="en-US" w:bidi="ar-SA"/>
          <w14:ligatures w14:val="standardContextual"/>
        </w:rPr>
        <w:t xml:space="preserve">Cons. Substituto </w:t>
      </w:r>
      <w:proofErr w:type="spellStart"/>
      <w:r w:rsidRPr="00397CF4">
        <w:rPr>
          <w:rFonts w:eastAsia="Calibri"/>
          <w:kern w:val="2"/>
          <w:sz w:val="24"/>
          <w:szCs w:val="24"/>
          <w:lang w:val="pt-BR" w:eastAsia="en-US" w:bidi="ar-SA"/>
          <w14:ligatures w14:val="standardContextual"/>
        </w:rPr>
        <w:t>Jaylson</w:t>
      </w:r>
      <w:proofErr w:type="spellEnd"/>
      <w:r w:rsidRPr="00397CF4">
        <w:rPr>
          <w:rFonts w:eastAsia="Calibri"/>
          <w:kern w:val="2"/>
          <w:sz w:val="24"/>
          <w:szCs w:val="24"/>
          <w:lang w:val="pt-BR" w:eastAsia="en-US" w:bidi="ar-SA"/>
          <w14:ligatures w14:val="standardContextual"/>
        </w:rPr>
        <w:t xml:space="preserve"> Lopes </w:t>
      </w:r>
      <w:proofErr w:type="gramStart"/>
      <w:r w:rsidRPr="00397CF4">
        <w:rPr>
          <w:rFonts w:eastAsia="Calibri"/>
          <w:kern w:val="2"/>
          <w:sz w:val="24"/>
          <w:szCs w:val="24"/>
          <w:lang w:val="pt-BR" w:eastAsia="en-US" w:bidi="ar-SA"/>
          <w14:ligatures w14:val="standardContextual"/>
        </w:rPr>
        <w:t>Campelo</w:t>
      </w:r>
      <w:proofErr w:type="gramEnd"/>
    </w:p>
    <w:p w14:paraId="44742907" w14:textId="77777777" w:rsidR="00397CF4" w:rsidRPr="00397CF4" w:rsidRDefault="00397CF4" w:rsidP="00397CF4">
      <w:pPr>
        <w:widowControl/>
        <w:autoSpaceDE/>
        <w:autoSpaceDN/>
        <w:jc w:val="both"/>
        <w:rPr>
          <w:rFonts w:eastAsia="Calibri"/>
          <w:kern w:val="2"/>
          <w:sz w:val="24"/>
          <w:szCs w:val="24"/>
          <w:lang w:val="pt-BR" w:eastAsia="en-US" w:bidi="ar-SA"/>
          <w14:ligatures w14:val="standardContextual"/>
        </w:rPr>
      </w:pPr>
      <w:r w:rsidRPr="00397CF4">
        <w:rPr>
          <w:rFonts w:eastAsia="Calibri"/>
          <w:kern w:val="2"/>
          <w:sz w:val="24"/>
          <w:szCs w:val="24"/>
          <w:lang w:val="pt-BR" w:eastAsia="en-US" w:bidi="ar-SA"/>
          <w14:ligatures w14:val="standardContextual"/>
        </w:rPr>
        <w:t xml:space="preserve">Cons. Substituto Delano Carneiro da Cunha </w:t>
      </w:r>
      <w:proofErr w:type="gramStart"/>
      <w:r w:rsidRPr="00397CF4">
        <w:rPr>
          <w:rFonts w:eastAsia="Calibri"/>
          <w:kern w:val="2"/>
          <w:sz w:val="24"/>
          <w:szCs w:val="24"/>
          <w:lang w:val="pt-BR" w:eastAsia="en-US" w:bidi="ar-SA"/>
          <w14:ligatures w14:val="standardContextual"/>
        </w:rPr>
        <w:t>Câmara</w:t>
      </w:r>
      <w:proofErr w:type="gramEnd"/>
    </w:p>
    <w:p w14:paraId="3756BC9F" w14:textId="77777777"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r w:rsidRPr="00397CF4">
        <w:rPr>
          <w:rFonts w:eastAsia="Calibri"/>
          <w:kern w:val="2"/>
          <w:sz w:val="24"/>
          <w:szCs w:val="24"/>
          <w:lang w:val="pt-BR" w:eastAsia="en-US" w:bidi="ar-SA"/>
          <w14:ligatures w14:val="standardContextual"/>
        </w:rPr>
        <w:t xml:space="preserve">Cons. Substituto Jackson Nobre </w:t>
      </w:r>
      <w:proofErr w:type="gramStart"/>
      <w:r w:rsidRPr="00397CF4">
        <w:rPr>
          <w:rFonts w:eastAsia="Calibri"/>
          <w:kern w:val="2"/>
          <w:sz w:val="24"/>
          <w:szCs w:val="24"/>
          <w:lang w:val="pt-BR" w:eastAsia="en-US" w:bidi="ar-SA"/>
          <w14:ligatures w14:val="standardContextual"/>
        </w:rPr>
        <w:t>Veras</w:t>
      </w:r>
      <w:proofErr w:type="gramEnd"/>
      <w:r w:rsidRPr="00397CF4">
        <w:rPr>
          <w:rFonts w:eastAsia="Calibri"/>
          <w:kern w:val="2"/>
          <w:sz w:val="24"/>
          <w:szCs w:val="24"/>
          <w:lang w:val="pt-BR" w:eastAsia="en-US" w:bidi="ar-SA"/>
          <w14:ligatures w14:val="standardContextual"/>
        </w:rPr>
        <w:t xml:space="preserve"> </w:t>
      </w:r>
    </w:p>
    <w:p w14:paraId="158EF9C1" w14:textId="77777777" w:rsidR="00397CF4" w:rsidRPr="00397CF4" w:rsidRDefault="00397CF4" w:rsidP="00397CF4">
      <w:pPr>
        <w:widowControl/>
        <w:autoSpaceDE/>
        <w:autoSpaceDN/>
        <w:spacing w:line="256" w:lineRule="auto"/>
        <w:rPr>
          <w:rFonts w:eastAsia="Calibri"/>
          <w:kern w:val="2"/>
          <w:sz w:val="24"/>
          <w:szCs w:val="24"/>
          <w:lang w:val="pt-BR" w:eastAsia="en-US" w:bidi="ar-SA"/>
          <w14:ligatures w14:val="standardContextual"/>
        </w:rPr>
      </w:pPr>
      <w:r w:rsidRPr="00397CF4">
        <w:rPr>
          <w:rFonts w:eastAsia="Calibri"/>
          <w:kern w:val="2"/>
          <w:sz w:val="24"/>
          <w:szCs w:val="24"/>
          <w:lang w:val="pt-BR" w:eastAsia="en-US" w:bidi="ar-SA"/>
          <w14:ligatures w14:val="standardContextual"/>
        </w:rPr>
        <w:t xml:space="preserve">Proc. Márcio André Madeira de Vasconcelos – </w:t>
      </w:r>
      <w:r w:rsidRPr="00397CF4">
        <w:rPr>
          <w:rFonts w:eastAsia="Calibri"/>
          <w:b/>
          <w:kern w:val="2"/>
          <w:sz w:val="24"/>
          <w:szCs w:val="24"/>
          <w:lang w:val="pt-BR" w:eastAsia="en-US" w:bidi="ar-SA"/>
          <w14:ligatures w14:val="standardContextual"/>
        </w:rPr>
        <w:t>Procurador-Geral do Ministério Público de Contas</w:t>
      </w:r>
    </w:p>
    <w:p w14:paraId="2482CC6F" w14:textId="77777777" w:rsidR="00B62DA3" w:rsidRDefault="00B62DA3" w:rsidP="00CD232D">
      <w:pPr>
        <w:widowControl/>
        <w:adjustRightInd w:val="0"/>
        <w:spacing w:line="300" w:lineRule="auto"/>
        <w:jc w:val="both"/>
        <w:outlineLvl w:val="0"/>
        <w:rPr>
          <w:bCs/>
          <w:sz w:val="24"/>
          <w:szCs w:val="24"/>
          <w:lang w:val="pt-BR" w:eastAsia="pt-BR" w:bidi="ar-SA"/>
        </w:rPr>
      </w:pPr>
    </w:p>
    <w:p w14:paraId="35A3EBBA" w14:textId="77777777" w:rsidR="00B92FD6" w:rsidRDefault="00B92FD6" w:rsidP="00CD232D">
      <w:pPr>
        <w:widowControl/>
        <w:adjustRightInd w:val="0"/>
        <w:spacing w:line="300" w:lineRule="auto"/>
        <w:jc w:val="both"/>
        <w:outlineLvl w:val="0"/>
        <w:rPr>
          <w:bCs/>
          <w:sz w:val="24"/>
          <w:szCs w:val="24"/>
          <w:lang w:val="pt-BR" w:eastAsia="pt-BR" w:bidi="ar-SA"/>
        </w:rPr>
      </w:pPr>
    </w:p>
    <w:p w14:paraId="6C8A70C6" w14:textId="77777777" w:rsidR="00CD232D" w:rsidRDefault="00CD232D" w:rsidP="00CD232D">
      <w:pPr>
        <w:rPr>
          <w:sz w:val="24"/>
          <w:szCs w:val="24"/>
        </w:rPr>
      </w:pPr>
      <w:r>
        <w:rPr>
          <w:color w:val="FF0000"/>
          <w:sz w:val="24"/>
          <w:szCs w:val="24"/>
        </w:rPr>
        <w:t>Este texto não substitui o publicado no DO TCE/PI de 27.10.23</w:t>
      </w:r>
    </w:p>
    <w:p w14:paraId="73550CB8" w14:textId="77777777" w:rsidR="00CD232D" w:rsidRPr="00B62DA3" w:rsidRDefault="00CD232D" w:rsidP="00CD232D">
      <w:pPr>
        <w:widowControl/>
        <w:adjustRightInd w:val="0"/>
        <w:spacing w:line="300" w:lineRule="auto"/>
        <w:jc w:val="both"/>
        <w:outlineLvl w:val="0"/>
        <w:rPr>
          <w:bCs/>
          <w:sz w:val="24"/>
          <w:szCs w:val="24"/>
          <w:lang w:val="pt-BR" w:eastAsia="pt-BR" w:bidi="ar-SA"/>
        </w:rPr>
      </w:pPr>
    </w:p>
    <w:sectPr w:rsidR="00CD232D" w:rsidRPr="00B62DA3" w:rsidSect="00AE29BE">
      <w:headerReference w:type="default" r:id="rId11"/>
      <w:pgSz w:w="11910" w:h="16840"/>
      <w:pgMar w:top="2180" w:right="1020" w:bottom="1276" w:left="1300" w:header="73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03324" w14:textId="77777777" w:rsidR="00745C82" w:rsidRDefault="00745C82">
      <w:r>
        <w:separator/>
      </w:r>
    </w:p>
  </w:endnote>
  <w:endnote w:type="continuationSeparator" w:id="0">
    <w:p w14:paraId="6B6B3057" w14:textId="77777777" w:rsidR="00745C82" w:rsidRDefault="00745C82">
      <w:r>
        <w:continuationSeparator/>
      </w:r>
    </w:p>
  </w:endnote>
  <w:endnote w:type="continuationNotice" w:id="1">
    <w:p w14:paraId="1A2B3066" w14:textId="77777777" w:rsidR="00745C82" w:rsidRDefault="00745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8C6A5" w14:textId="77777777" w:rsidR="00745C82" w:rsidRDefault="00745C82">
      <w:r>
        <w:separator/>
      </w:r>
    </w:p>
  </w:footnote>
  <w:footnote w:type="continuationSeparator" w:id="0">
    <w:p w14:paraId="5BC529DB" w14:textId="77777777" w:rsidR="00745C82" w:rsidRDefault="00745C82">
      <w:r>
        <w:continuationSeparator/>
      </w:r>
    </w:p>
  </w:footnote>
  <w:footnote w:type="continuationNotice" w:id="1">
    <w:p w14:paraId="7A015E5D" w14:textId="77777777" w:rsidR="00745C82" w:rsidRDefault="00745C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43648" w14:textId="77777777" w:rsidR="00C71BB0" w:rsidRDefault="00C71BB0">
    <w:pPr>
      <w:pStyle w:val="Corpodetexto"/>
      <w:spacing w:line="14" w:lineRule="auto"/>
      <w:rPr>
        <w:sz w:val="20"/>
      </w:rPr>
    </w:pPr>
    <w:r w:rsidRPr="00C71BB0">
      <w:rPr>
        <w:noProof/>
        <w:sz w:val="20"/>
        <w:lang w:val="pt-BR" w:eastAsia="pt-BR" w:bidi="ar-SA"/>
      </w:rPr>
      <mc:AlternateContent>
        <mc:Choice Requires="wps">
          <w:drawing>
            <wp:anchor distT="0" distB="0" distL="114300" distR="114300" simplePos="0" relativeHeight="251658240" behindDoc="0" locked="0" layoutInCell="1" allowOverlap="1" wp14:anchorId="5AB43649" wp14:editId="5AB4364A">
              <wp:simplePos x="0" y="0"/>
              <wp:positionH relativeFrom="column">
                <wp:posOffset>5071192</wp:posOffset>
              </wp:positionH>
              <wp:positionV relativeFrom="paragraph">
                <wp:posOffset>-318770</wp:posOffset>
              </wp:positionV>
              <wp:extent cx="943739" cy="899731"/>
              <wp:effectExtent l="133350" t="133350" r="161290" b="148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739" cy="899731"/>
                      </a:xfrm>
                      <a:prstGeom prst="rect">
                        <a:avLst/>
                      </a:prstGeom>
                      <a:solidFill>
                        <a:schemeClr val="bg1"/>
                      </a:solidFill>
                      <a:ln w="9525">
                        <a:solidFill>
                          <a:schemeClr val="bg1"/>
                        </a:solidFill>
                        <a:miter lim="800000"/>
                        <a:headEnd/>
                        <a:tailEnd/>
                      </a:ln>
                      <a:effectLst>
                        <a:glow rad="127000">
                          <a:schemeClr val="bg1"/>
                        </a:glow>
                      </a:effectLst>
                    </wps:spPr>
                    <wps:txbx>
                      <w:txbxContent>
                        <w:p w14:paraId="5AB4364D" w14:textId="77777777" w:rsidR="00C71BB0" w:rsidRDefault="00C71BB0">
                          <w:r>
                            <w:rPr>
                              <w:noProof/>
                              <w:lang w:val="pt-BR" w:eastAsia="pt-BR" w:bidi="ar-SA"/>
                            </w:rPr>
                            <w:drawing>
                              <wp:inline distT="0" distB="0" distL="0" distR="0" wp14:anchorId="5AB4364E" wp14:editId="5AB4364F">
                                <wp:extent cx="751840" cy="815457"/>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1840" cy="81545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w14:anchorId="5AB43649">
              <v:stroke joinstyle="miter"/>
              <v:path gradientshapeok="t" o:connecttype="rect"/>
            </v:shapetype>
            <v:shape id="Caixa de Texto 2" style="position:absolute;margin-left:399.3pt;margin-top:-25.1pt;width:74.3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12]"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">
              <v:textbox>
                <w:txbxContent>
                  <w:p w:rsidR="00C71BB0" w:rsidRDefault="00C71BB0" w14:paraId="5AB4364D" w14:textId="77777777">
                    <w:r>
                      <w:rPr>
                        <w:noProof/>
                        <w:lang w:val="pt-BR" w:eastAsia="pt-BR" w:bidi="ar-SA"/>
                      </w:rPr>
                      <w:drawing>
                        <wp:inline distT="0" distB="0" distL="0" distR="0" wp14:anchorId="5AB4364E" wp14:editId="5AB4364F">
                          <wp:extent cx="751840" cy="815457"/>
                          <wp:effectExtent l="0" t="0" r="0" b="381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51840" cy="815457"/>
                                  </a:xfrm>
                                  <a:prstGeom prst="rect">
                                    <a:avLst/>
                                  </a:prstGeom>
                                </pic:spPr>
                              </pic:pic>
                            </a:graphicData>
                          </a:graphic>
                        </wp:inline>
                      </w:drawing>
                    </w:r>
                  </w:p>
                </w:txbxContent>
              </v:textbox>
            </v:shape>
          </w:pict>
        </mc:Fallback>
      </mc:AlternateContent>
    </w:r>
    <w:r w:rsidRPr="00C71BB0">
      <w:rPr>
        <w:noProof/>
        <w:sz w:val="20"/>
        <w:lang w:val="pt-BR" w:eastAsia="pt-BR" w:bidi="ar-SA"/>
      </w:rPr>
      <w:drawing>
        <wp:inline distT="0" distB="0" distL="0" distR="0" wp14:anchorId="5AB4364B" wp14:editId="5AB4364C">
          <wp:extent cx="2474259" cy="660713"/>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478315" cy="6617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505EC"/>
    <w:multiLevelType w:val="hybridMultilevel"/>
    <w:tmpl w:val="70388C46"/>
    <w:lvl w:ilvl="0" w:tplc="E3B2A52C">
      <w:start w:val="1"/>
      <w:numFmt w:val="decimal"/>
      <w:lvlText w:val="%1."/>
      <w:lvlJc w:val="left"/>
      <w:pPr>
        <w:ind w:left="118" w:hanging="279"/>
      </w:pPr>
      <w:rPr>
        <w:rFonts w:ascii="Arial" w:eastAsia="Arial" w:hAnsi="Arial" w:cs="Arial" w:hint="default"/>
        <w:w w:val="99"/>
        <w:sz w:val="24"/>
        <w:szCs w:val="24"/>
        <w:lang w:val="pt-PT" w:eastAsia="pt-PT" w:bidi="pt-PT"/>
      </w:rPr>
    </w:lvl>
    <w:lvl w:ilvl="1" w:tplc="03AA149E">
      <w:numFmt w:val="bullet"/>
      <w:lvlText w:val="•"/>
      <w:lvlJc w:val="left"/>
      <w:pPr>
        <w:ind w:left="1066" w:hanging="279"/>
      </w:pPr>
      <w:rPr>
        <w:rFonts w:hint="default"/>
        <w:lang w:val="pt-PT" w:eastAsia="pt-PT" w:bidi="pt-PT"/>
      </w:rPr>
    </w:lvl>
    <w:lvl w:ilvl="2" w:tplc="66ECD9D0">
      <w:numFmt w:val="bullet"/>
      <w:lvlText w:val="•"/>
      <w:lvlJc w:val="left"/>
      <w:pPr>
        <w:ind w:left="2013" w:hanging="279"/>
      </w:pPr>
      <w:rPr>
        <w:rFonts w:hint="default"/>
        <w:lang w:val="pt-PT" w:eastAsia="pt-PT" w:bidi="pt-PT"/>
      </w:rPr>
    </w:lvl>
    <w:lvl w:ilvl="3" w:tplc="9B6CFF8C">
      <w:numFmt w:val="bullet"/>
      <w:lvlText w:val="•"/>
      <w:lvlJc w:val="left"/>
      <w:pPr>
        <w:ind w:left="2959" w:hanging="279"/>
      </w:pPr>
      <w:rPr>
        <w:rFonts w:hint="default"/>
        <w:lang w:val="pt-PT" w:eastAsia="pt-PT" w:bidi="pt-PT"/>
      </w:rPr>
    </w:lvl>
    <w:lvl w:ilvl="4" w:tplc="263896E4">
      <w:numFmt w:val="bullet"/>
      <w:lvlText w:val="•"/>
      <w:lvlJc w:val="left"/>
      <w:pPr>
        <w:ind w:left="3906" w:hanging="279"/>
      </w:pPr>
      <w:rPr>
        <w:rFonts w:hint="default"/>
        <w:lang w:val="pt-PT" w:eastAsia="pt-PT" w:bidi="pt-PT"/>
      </w:rPr>
    </w:lvl>
    <w:lvl w:ilvl="5" w:tplc="3A22AEA0">
      <w:numFmt w:val="bullet"/>
      <w:lvlText w:val="•"/>
      <w:lvlJc w:val="left"/>
      <w:pPr>
        <w:ind w:left="4853" w:hanging="279"/>
      </w:pPr>
      <w:rPr>
        <w:rFonts w:hint="default"/>
        <w:lang w:val="pt-PT" w:eastAsia="pt-PT" w:bidi="pt-PT"/>
      </w:rPr>
    </w:lvl>
    <w:lvl w:ilvl="6" w:tplc="9CB0A7F4">
      <w:numFmt w:val="bullet"/>
      <w:lvlText w:val="•"/>
      <w:lvlJc w:val="left"/>
      <w:pPr>
        <w:ind w:left="5799" w:hanging="279"/>
      </w:pPr>
      <w:rPr>
        <w:rFonts w:hint="default"/>
        <w:lang w:val="pt-PT" w:eastAsia="pt-PT" w:bidi="pt-PT"/>
      </w:rPr>
    </w:lvl>
    <w:lvl w:ilvl="7" w:tplc="D412761C">
      <w:numFmt w:val="bullet"/>
      <w:lvlText w:val="•"/>
      <w:lvlJc w:val="left"/>
      <w:pPr>
        <w:ind w:left="6746" w:hanging="279"/>
      </w:pPr>
      <w:rPr>
        <w:rFonts w:hint="default"/>
        <w:lang w:val="pt-PT" w:eastAsia="pt-PT" w:bidi="pt-PT"/>
      </w:rPr>
    </w:lvl>
    <w:lvl w:ilvl="8" w:tplc="813697EA">
      <w:numFmt w:val="bullet"/>
      <w:lvlText w:val="•"/>
      <w:lvlJc w:val="left"/>
      <w:pPr>
        <w:ind w:left="7693" w:hanging="279"/>
      </w:pPr>
      <w:rPr>
        <w:rFonts w:hint="default"/>
        <w:lang w:val="pt-PT" w:eastAsia="pt-PT" w:bidi="pt-PT"/>
      </w:rPr>
    </w:lvl>
  </w:abstractNum>
  <w:abstractNum w:abstractNumId="1">
    <w:nsid w:val="612510D0"/>
    <w:multiLevelType w:val="hybridMultilevel"/>
    <w:tmpl w:val="70388C46"/>
    <w:lvl w:ilvl="0" w:tplc="E3B2A52C">
      <w:start w:val="1"/>
      <w:numFmt w:val="decimal"/>
      <w:lvlText w:val="%1."/>
      <w:lvlJc w:val="left"/>
      <w:pPr>
        <w:ind w:left="118" w:hanging="279"/>
      </w:pPr>
      <w:rPr>
        <w:rFonts w:ascii="Arial" w:eastAsia="Arial" w:hAnsi="Arial" w:cs="Arial" w:hint="default"/>
        <w:w w:val="99"/>
        <w:sz w:val="24"/>
        <w:szCs w:val="24"/>
        <w:lang w:val="pt-PT" w:eastAsia="pt-PT" w:bidi="pt-PT"/>
      </w:rPr>
    </w:lvl>
    <w:lvl w:ilvl="1" w:tplc="03AA149E">
      <w:numFmt w:val="bullet"/>
      <w:lvlText w:val="•"/>
      <w:lvlJc w:val="left"/>
      <w:pPr>
        <w:ind w:left="1066" w:hanging="279"/>
      </w:pPr>
      <w:rPr>
        <w:rFonts w:hint="default"/>
        <w:lang w:val="pt-PT" w:eastAsia="pt-PT" w:bidi="pt-PT"/>
      </w:rPr>
    </w:lvl>
    <w:lvl w:ilvl="2" w:tplc="66ECD9D0">
      <w:numFmt w:val="bullet"/>
      <w:lvlText w:val="•"/>
      <w:lvlJc w:val="left"/>
      <w:pPr>
        <w:ind w:left="2013" w:hanging="279"/>
      </w:pPr>
      <w:rPr>
        <w:rFonts w:hint="default"/>
        <w:lang w:val="pt-PT" w:eastAsia="pt-PT" w:bidi="pt-PT"/>
      </w:rPr>
    </w:lvl>
    <w:lvl w:ilvl="3" w:tplc="9B6CFF8C">
      <w:numFmt w:val="bullet"/>
      <w:lvlText w:val="•"/>
      <w:lvlJc w:val="left"/>
      <w:pPr>
        <w:ind w:left="2959" w:hanging="279"/>
      </w:pPr>
      <w:rPr>
        <w:rFonts w:hint="default"/>
        <w:lang w:val="pt-PT" w:eastAsia="pt-PT" w:bidi="pt-PT"/>
      </w:rPr>
    </w:lvl>
    <w:lvl w:ilvl="4" w:tplc="263896E4">
      <w:numFmt w:val="bullet"/>
      <w:lvlText w:val="•"/>
      <w:lvlJc w:val="left"/>
      <w:pPr>
        <w:ind w:left="3906" w:hanging="279"/>
      </w:pPr>
      <w:rPr>
        <w:rFonts w:hint="default"/>
        <w:lang w:val="pt-PT" w:eastAsia="pt-PT" w:bidi="pt-PT"/>
      </w:rPr>
    </w:lvl>
    <w:lvl w:ilvl="5" w:tplc="3A22AEA0">
      <w:numFmt w:val="bullet"/>
      <w:lvlText w:val="•"/>
      <w:lvlJc w:val="left"/>
      <w:pPr>
        <w:ind w:left="4853" w:hanging="279"/>
      </w:pPr>
      <w:rPr>
        <w:rFonts w:hint="default"/>
        <w:lang w:val="pt-PT" w:eastAsia="pt-PT" w:bidi="pt-PT"/>
      </w:rPr>
    </w:lvl>
    <w:lvl w:ilvl="6" w:tplc="9CB0A7F4">
      <w:numFmt w:val="bullet"/>
      <w:lvlText w:val="•"/>
      <w:lvlJc w:val="left"/>
      <w:pPr>
        <w:ind w:left="5799" w:hanging="279"/>
      </w:pPr>
      <w:rPr>
        <w:rFonts w:hint="default"/>
        <w:lang w:val="pt-PT" w:eastAsia="pt-PT" w:bidi="pt-PT"/>
      </w:rPr>
    </w:lvl>
    <w:lvl w:ilvl="7" w:tplc="D412761C">
      <w:numFmt w:val="bullet"/>
      <w:lvlText w:val="•"/>
      <w:lvlJc w:val="left"/>
      <w:pPr>
        <w:ind w:left="6746" w:hanging="279"/>
      </w:pPr>
      <w:rPr>
        <w:rFonts w:hint="default"/>
        <w:lang w:val="pt-PT" w:eastAsia="pt-PT" w:bidi="pt-PT"/>
      </w:rPr>
    </w:lvl>
    <w:lvl w:ilvl="8" w:tplc="813697EA">
      <w:numFmt w:val="bullet"/>
      <w:lvlText w:val="•"/>
      <w:lvlJc w:val="left"/>
      <w:pPr>
        <w:ind w:left="7693" w:hanging="279"/>
      </w:pPr>
      <w:rPr>
        <w:rFonts w:hint="default"/>
        <w:lang w:val="pt-PT" w:eastAsia="pt-PT" w:bidi="pt-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59"/>
    <w:rsid w:val="00007FD9"/>
    <w:rsid w:val="00015142"/>
    <w:rsid w:val="00037658"/>
    <w:rsid w:val="0006159B"/>
    <w:rsid w:val="000617B0"/>
    <w:rsid w:val="000623E5"/>
    <w:rsid w:val="00072516"/>
    <w:rsid w:val="00096A20"/>
    <w:rsid w:val="000C3290"/>
    <w:rsid w:val="000C3A92"/>
    <w:rsid w:val="00150864"/>
    <w:rsid w:val="001806C1"/>
    <w:rsid w:val="001A6776"/>
    <w:rsid w:val="001D08F9"/>
    <w:rsid w:val="001D2D9D"/>
    <w:rsid w:val="002035A3"/>
    <w:rsid w:val="002209E5"/>
    <w:rsid w:val="00231D7A"/>
    <w:rsid w:val="00277B39"/>
    <w:rsid w:val="002A5F57"/>
    <w:rsid w:val="002D39AF"/>
    <w:rsid w:val="002E5F08"/>
    <w:rsid w:val="002F2C67"/>
    <w:rsid w:val="00314CF5"/>
    <w:rsid w:val="0036192D"/>
    <w:rsid w:val="00372A36"/>
    <w:rsid w:val="0037705E"/>
    <w:rsid w:val="00397CF4"/>
    <w:rsid w:val="003C28E4"/>
    <w:rsid w:val="003E2A4C"/>
    <w:rsid w:val="003E5D28"/>
    <w:rsid w:val="003F2481"/>
    <w:rsid w:val="003F43CA"/>
    <w:rsid w:val="003F7980"/>
    <w:rsid w:val="00420F28"/>
    <w:rsid w:val="004715F4"/>
    <w:rsid w:val="004E3851"/>
    <w:rsid w:val="004F2A18"/>
    <w:rsid w:val="00527DF9"/>
    <w:rsid w:val="0053405E"/>
    <w:rsid w:val="005341CF"/>
    <w:rsid w:val="005422AD"/>
    <w:rsid w:val="005429D9"/>
    <w:rsid w:val="005842D2"/>
    <w:rsid w:val="00591B59"/>
    <w:rsid w:val="005A523D"/>
    <w:rsid w:val="005C7257"/>
    <w:rsid w:val="00642185"/>
    <w:rsid w:val="00660529"/>
    <w:rsid w:val="0068108B"/>
    <w:rsid w:val="00682188"/>
    <w:rsid w:val="006C0B0B"/>
    <w:rsid w:val="006D107F"/>
    <w:rsid w:val="006F6DB6"/>
    <w:rsid w:val="007216DE"/>
    <w:rsid w:val="0072690B"/>
    <w:rsid w:val="00745C82"/>
    <w:rsid w:val="00750C55"/>
    <w:rsid w:val="007716C5"/>
    <w:rsid w:val="007C6B5E"/>
    <w:rsid w:val="007D7C03"/>
    <w:rsid w:val="007E15B4"/>
    <w:rsid w:val="008677A6"/>
    <w:rsid w:val="008B5393"/>
    <w:rsid w:val="008C10FE"/>
    <w:rsid w:val="008F7F0F"/>
    <w:rsid w:val="00907D45"/>
    <w:rsid w:val="00932A9B"/>
    <w:rsid w:val="0096018E"/>
    <w:rsid w:val="009651C8"/>
    <w:rsid w:val="00982A3F"/>
    <w:rsid w:val="009A0FED"/>
    <w:rsid w:val="009B4B9A"/>
    <w:rsid w:val="009E00D5"/>
    <w:rsid w:val="009E4047"/>
    <w:rsid w:val="009F0ED8"/>
    <w:rsid w:val="00A0560B"/>
    <w:rsid w:val="00A12D4C"/>
    <w:rsid w:val="00A45B56"/>
    <w:rsid w:val="00A4644B"/>
    <w:rsid w:val="00A63CB2"/>
    <w:rsid w:val="00A86EDF"/>
    <w:rsid w:val="00AA4954"/>
    <w:rsid w:val="00AB723E"/>
    <w:rsid w:val="00AD50D8"/>
    <w:rsid w:val="00AD576E"/>
    <w:rsid w:val="00AE0D27"/>
    <w:rsid w:val="00AE29BE"/>
    <w:rsid w:val="00B04297"/>
    <w:rsid w:val="00B13A88"/>
    <w:rsid w:val="00B27907"/>
    <w:rsid w:val="00B50F78"/>
    <w:rsid w:val="00B62DA3"/>
    <w:rsid w:val="00B644C7"/>
    <w:rsid w:val="00B71B28"/>
    <w:rsid w:val="00B92FD6"/>
    <w:rsid w:val="00B97B5C"/>
    <w:rsid w:val="00BC2779"/>
    <w:rsid w:val="00BC3223"/>
    <w:rsid w:val="00BC7413"/>
    <w:rsid w:val="00BD573E"/>
    <w:rsid w:val="00BE007F"/>
    <w:rsid w:val="00BE2016"/>
    <w:rsid w:val="00C232DD"/>
    <w:rsid w:val="00C25469"/>
    <w:rsid w:val="00C51ED7"/>
    <w:rsid w:val="00C57F52"/>
    <w:rsid w:val="00C66802"/>
    <w:rsid w:val="00C71369"/>
    <w:rsid w:val="00C71BB0"/>
    <w:rsid w:val="00C810F5"/>
    <w:rsid w:val="00CC1F21"/>
    <w:rsid w:val="00CD232D"/>
    <w:rsid w:val="00D0019F"/>
    <w:rsid w:val="00D03D31"/>
    <w:rsid w:val="00D33D47"/>
    <w:rsid w:val="00D44532"/>
    <w:rsid w:val="00D54111"/>
    <w:rsid w:val="00D66CCF"/>
    <w:rsid w:val="00DA75FA"/>
    <w:rsid w:val="00DB41D0"/>
    <w:rsid w:val="00DC2F9F"/>
    <w:rsid w:val="00E30903"/>
    <w:rsid w:val="00E3090E"/>
    <w:rsid w:val="00E41B46"/>
    <w:rsid w:val="00E874D8"/>
    <w:rsid w:val="00EC5BE5"/>
    <w:rsid w:val="00EE614C"/>
    <w:rsid w:val="00EF7CB1"/>
    <w:rsid w:val="00F15F59"/>
    <w:rsid w:val="00F31756"/>
    <w:rsid w:val="00F55D5F"/>
    <w:rsid w:val="00F634C7"/>
    <w:rsid w:val="00F91B47"/>
    <w:rsid w:val="00FA0094"/>
    <w:rsid w:val="00FA1E9B"/>
    <w:rsid w:val="00FB3424"/>
    <w:rsid w:val="00FC0C33"/>
    <w:rsid w:val="00FD1678"/>
    <w:rsid w:val="00FD2BE5"/>
    <w:rsid w:val="021B549F"/>
    <w:rsid w:val="06C8AFB3"/>
    <w:rsid w:val="0CA03797"/>
    <w:rsid w:val="1AD5D396"/>
    <w:rsid w:val="1C87A89C"/>
    <w:rsid w:val="1D554A89"/>
    <w:rsid w:val="1E34FAB7"/>
    <w:rsid w:val="1FC76364"/>
    <w:rsid w:val="38F45FB3"/>
    <w:rsid w:val="3BA2B8C4"/>
    <w:rsid w:val="40B6989C"/>
    <w:rsid w:val="41C4D05E"/>
    <w:rsid w:val="4FEA33F6"/>
    <w:rsid w:val="5618218F"/>
    <w:rsid w:val="6052D5C6"/>
    <w:rsid w:val="6499F9F7"/>
    <w:rsid w:val="7A91F03D"/>
    <w:rsid w:val="7C028E6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B4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8" w:right="110"/>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D0019F"/>
    <w:rPr>
      <w:color w:val="0000FF" w:themeColor="hyperlink"/>
      <w:u w:val="single"/>
    </w:rPr>
  </w:style>
  <w:style w:type="paragraph" w:styleId="Cabealho">
    <w:name w:val="header"/>
    <w:basedOn w:val="Normal"/>
    <w:link w:val="CabealhoChar"/>
    <w:uiPriority w:val="99"/>
    <w:unhideWhenUsed/>
    <w:rsid w:val="00C71BB0"/>
    <w:pPr>
      <w:tabs>
        <w:tab w:val="center" w:pos="4252"/>
        <w:tab w:val="right" w:pos="8504"/>
      </w:tabs>
    </w:pPr>
  </w:style>
  <w:style w:type="character" w:customStyle="1" w:styleId="CabealhoChar">
    <w:name w:val="Cabeçalho Char"/>
    <w:basedOn w:val="Fontepargpadro"/>
    <w:link w:val="Cabealho"/>
    <w:uiPriority w:val="99"/>
    <w:rsid w:val="00C71BB0"/>
    <w:rPr>
      <w:rFonts w:ascii="Arial" w:eastAsia="Arial" w:hAnsi="Arial" w:cs="Arial"/>
      <w:lang w:val="pt-PT" w:eastAsia="pt-PT" w:bidi="pt-PT"/>
    </w:rPr>
  </w:style>
  <w:style w:type="paragraph" w:styleId="Rodap">
    <w:name w:val="footer"/>
    <w:basedOn w:val="Normal"/>
    <w:link w:val="RodapChar"/>
    <w:uiPriority w:val="99"/>
    <w:unhideWhenUsed/>
    <w:rsid w:val="00C71BB0"/>
    <w:pPr>
      <w:tabs>
        <w:tab w:val="center" w:pos="4252"/>
        <w:tab w:val="right" w:pos="8504"/>
      </w:tabs>
    </w:pPr>
  </w:style>
  <w:style w:type="character" w:customStyle="1" w:styleId="RodapChar">
    <w:name w:val="Rodapé Char"/>
    <w:basedOn w:val="Fontepargpadro"/>
    <w:link w:val="Rodap"/>
    <w:uiPriority w:val="99"/>
    <w:rsid w:val="00C71BB0"/>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C71BB0"/>
    <w:rPr>
      <w:rFonts w:ascii="Tahoma" w:hAnsi="Tahoma" w:cs="Tahoma"/>
      <w:sz w:val="16"/>
      <w:szCs w:val="16"/>
    </w:rPr>
  </w:style>
  <w:style w:type="character" w:customStyle="1" w:styleId="TextodebaloChar">
    <w:name w:val="Texto de balão Char"/>
    <w:basedOn w:val="Fontepargpadro"/>
    <w:link w:val="Textodebalo"/>
    <w:uiPriority w:val="99"/>
    <w:semiHidden/>
    <w:rsid w:val="00C71BB0"/>
    <w:rPr>
      <w:rFonts w:ascii="Tahoma" w:eastAsia="Arial"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8" w:right="110"/>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D0019F"/>
    <w:rPr>
      <w:color w:val="0000FF" w:themeColor="hyperlink"/>
      <w:u w:val="single"/>
    </w:rPr>
  </w:style>
  <w:style w:type="paragraph" w:styleId="Cabealho">
    <w:name w:val="header"/>
    <w:basedOn w:val="Normal"/>
    <w:link w:val="CabealhoChar"/>
    <w:uiPriority w:val="99"/>
    <w:unhideWhenUsed/>
    <w:rsid w:val="00C71BB0"/>
    <w:pPr>
      <w:tabs>
        <w:tab w:val="center" w:pos="4252"/>
        <w:tab w:val="right" w:pos="8504"/>
      </w:tabs>
    </w:pPr>
  </w:style>
  <w:style w:type="character" w:customStyle="1" w:styleId="CabealhoChar">
    <w:name w:val="Cabeçalho Char"/>
    <w:basedOn w:val="Fontepargpadro"/>
    <w:link w:val="Cabealho"/>
    <w:uiPriority w:val="99"/>
    <w:rsid w:val="00C71BB0"/>
    <w:rPr>
      <w:rFonts w:ascii="Arial" w:eastAsia="Arial" w:hAnsi="Arial" w:cs="Arial"/>
      <w:lang w:val="pt-PT" w:eastAsia="pt-PT" w:bidi="pt-PT"/>
    </w:rPr>
  </w:style>
  <w:style w:type="paragraph" w:styleId="Rodap">
    <w:name w:val="footer"/>
    <w:basedOn w:val="Normal"/>
    <w:link w:val="RodapChar"/>
    <w:uiPriority w:val="99"/>
    <w:unhideWhenUsed/>
    <w:rsid w:val="00C71BB0"/>
    <w:pPr>
      <w:tabs>
        <w:tab w:val="center" w:pos="4252"/>
        <w:tab w:val="right" w:pos="8504"/>
      </w:tabs>
    </w:pPr>
  </w:style>
  <w:style w:type="character" w:customStyle="1" w:styleId="RodapChar">
    <w:name w:val="Rodapé Char"/>
    <w:basedOn w:val="Fontepargpadro"/>
    <w:link w:val="Rodap"/>
    <w:uiPriority w:val="99"/>
    <w:rsid w:val="00C71BB0"/>
    <w:rPr>
      <w:rFonts w:ascii="Arial" w:eastAsia="Arial" w:hAnsi="Arial" w:cs="Arial"/>
      <w:lang w:val="pt-PT" w:eastAsia="pt-PT" w:bidi="pt-PT"/>
    </w:rPr>
  </w:style>
  <w:style w:type="paragraph" w:styleId="Textodebalo">
    <w:name w:val="Balloon Text"/>
    <w:basedOn w:val="Normal"/>
    <w:link w:val="TextodebaloChar"/>
    <w:uiPriority w:val="99"/>
    <w:semiHidden/>
    <w:unhideWhenUsed/>
    <w:rsid w:val="00C71BB0"/>
    <w:rPr>
      <w:rFonts w:ascii="Tahoma" w:hAnsi="Tahoma" w:cs="Tahoma"/>
      <w:sz w:val="16"/>
      <w:szCs w:val="16"/>
    </w:rPr>
  </w:style>
  <w:style w:type="character" w:customStyle="1" w:styleId="TextodebaloChar">
    <w:name w:val="Texto de balão Char"/>
    <w:basedOn w:val="Fontepargpadro"/>
    <w:link w:val="Textodebalo"/>
    <w:uiPriority w:val="99"/>
    <w:semiHidden/>
    <w:rsid w:val="00C71BB0"/>
    <w:rPr>
      <w:rFonts w:ascii="Tahoma" w:eastAsia="Arial"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5098">
      <w:bodyDiv w:val="1"/>
      <w:marLeft w:val="0"/>
      <w:marRight w:val="0"/>
      <w:marTop w:val="0"/>
      <w:marBottom w:val="0"/>
      <w:divBdr>
        <w:top w:val="none" w:sz="0" w:space="0" w:color="auto"/>
        <w:left w:val="none" w:sz="0" w:space="0" w:color="auto"/>
        <w:bottom w:val="none" w:sz="0" w:space="0" w:color="auto"/>
        <w:right w:val="none" w:sz="0" w:space="0" w:color="auto"/>
      </w:divBdr>
    </w:div>
    <w:div w:id="1114637638">
      <w:bodyDiv w:val="1"/>
      <w:marLeft w:val="0"/>
      <w:marRight w:val="0"/>
      <w:marTop w:val="0"/>
      <w:marBottom w:val="0"/>
      <w:divBdr>
        <w:top w:val="none" w:sz="0" w:space="0" w:color="auto"/>
        <w:left w:val="none" w:sz="0" w:space="0" w:color="auto"/>
        <w:bottom w:val="none" w:sz="0" w:space="0" w:color="auto"/>
        <w:right w:val="none" w:sz="0" w:space="0" w:color="auto"/>
      </w:divBdr>
    </w:div>
    <w:div w:id="1649237696">
      <w:bodyDiv w:val="1"/>
      <w:marLeft w:val="0"/>
      <w:marRight w:val="0"/>
      <w:marTop w:val="0"/>
      <w:marBottom w:val="0"/>
      <w:divBdr>
        <w:top w:val="none" w:sz="0" w:space="0" w:color="auto"/>
        <w:left w:val="none" w:sz="0" w:space="0" w:color="auto"/>
        <w:bottom w:val="none" w:sz="0" w:space="0" w:color="auto"/>
        <w:right w:val="none" w:sz="0" w:space="0" w:color="auto"/>
      </w:divBdr>
    </w:div>
    <w:div w:id="176025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e.pi.gov.br/institucional/composicao/conselheira-waltania-maria-nogueira-de-sousa-leal-alvareng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ce.pi.gov.br/institucional/composicao/conselheira-waltania-maria-nogueira-de-sousa-leal-alvarenga/" TargetMode="External"/><Relationship Id="rId4" Type="http://schemas.openxmlformats.org/officeDocument/2006/relationships/settings" Target="settings.xml"/><Relationship Id="rId9" Type="http://schemas.openxmlformats.org/officeDocument/2006/relationships/hyperlink" Target="http://www.tce.pi.gov.br/institucional/composicao/conselheira-lilian-de-almeida-veloso-nunes-martin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579</Words>
  <Characters>3131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ednize.oliveira</dc:creator>
  <cp:lastModifiedBy>Yngrid Fernandes Nogueira de Sousa</cp:lastModifiedBy>
  <cp:revision>77</cp:revision>
  <cp:lastPrinted>2024-05-14T14:31:00Z</cp:lastPrinted>
  <dcterms:created xsi:type="dcterms:W3CDTF">2023-09-28T16:50:00Z</dcterms:created>
  <dcterms:modified xsi:type="dcterms:W3CDTF">2024-05-14T14:31:00Z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Microsoft® Word 2010</vt:lpwstr>
  </property>
  <property fmtid="{D5CDD505-2E9C-101B-9397-08002B2CF9AE}" pid="4" name="LastSaved">
    <vt:filetime>2019-04-09T00:00:00Z</vt:filetime>
  </property>
</Properties>
</file>