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86103" w14:textId="37FCC75F" w:rsidR="00910380" w:rsidRPr="00910380" w:rsidRDefault="00910380" w:rsidP="00B62DA3">
      <w:pPr>
        <w:pStyle w:val="Corpodetexto"/>
        <w:ind w:left="118"/>
        <w:rPr>
          <w:bCs/>
          <w:i/>
          <w:sz w:val="20"/>
          <w:lang w:val="pt-BR" w:eastAsia="pt-BR" w:bidi="ar-SA"/>
        </w:rPr>
      </w:pPr>
      <w:r w:rsidRPr="00910380">
        <w:rPr>
          <w:bCs/>
          <w:i/>
          <w:sz w:val="20"/>
          <w:lang w:val="pt-BR" w:eastAsia="pt-BR" w:bidi="ar-SA"/>
        </w:rPr>
        <w:t>Republicação por erro formal</w:t>
      </w:r>
    </w:p>
    <w:p w14:paraId="694E87C1" w14:textId="77777777" w:rsidR="00910380" w:rsidRDefault="00910380" w:rsidP="00B62DA3">
      <w:pPr>
        <w:pStyle w:val="Corpodetexto"/>
        <w:ind w:left="118"/>
        <w:rPr>
          <w:b/>
          <w:bCs/>
          <w:lang w:val="pt-BR" w:eastAsia="pt-BR" w:bidi="ar-SA"/>
        </w:rPr>
      </w:pPr>
    </w:p>
    <w:p w14:paraId="074E5B54" w14:textId="7BF7C194" w:rsidR="00B62DA3" w:rsidRPr="00B62DA3" w:rsidRDefault="00077D37" w:rsidP="00B62DA3">
      <w:pPr>
        <w:pStyle w:val="Corpodetexto"/>
        <w:ind w:left="118"/>
        <w:rPr>
          <w:b/>
          <w:bCs/>
          <w:lang w:val="pt-BR" w:eastAsia="pt-BR" w:bidi="ar-SA"/>
        </w:rPr>
      </w:pPr>
      <w:r>
        <w:rPr>
          <w:b/>
          <w:bCs/>
          <w:lang w:val="pt-BR" w:eastAsia="pt-BR" w:bidi="ar-SA"/>
        </w:rPr>
        <w:t>NOTA TÉCNICA TCE/PI Nº 02, DE 23 DE MAIO</w:t>
      </w:r>
      <w:r w:rsidR="00F16851">
        <w:rPr>
          <w:b/>
          <w:bCs/>
          <w:lang w:val="pt-BR" w:eastAsia="pt-BR" w:bidi="ar-SA"/>
        </w:rPr>
        <w:t xml:space="preserve"> DE 2024</w:t>
      </w:r>
      <w:r w:rsidR="00B62DA3" w:rsidRPr="00B62DA3">
        <w:rPr>
          <w:b/>
          <w:bCs/>
          <w:lang w:val="pt-BR" w:eastAsia="pt-BR" w:bidi="ar-SA"/>
        </w:rPr>
        <w:t xml:space="preserve">. </w:t>
      </w:r>
    </w:p>
    <w:p w14:paraId="5AB43634" w14:textId="77777777" w:rsidR="00F15F59" w:rsidRDefault="00F15F59" w:rsidP="00BD573E">
      <w:pPr>
        <w:pStyle w:val="Corpodetexto"/>
        <w:ind w:left="118"/>
        <w:rPr>
          <w:b/>
        </w:rPr>
      </w:pPr>
    </w:p>
    <w:p w14:paraId="726DA171" w14:textId="77777777" w:rsidR="009019D0" w:rsidRPr="00B62DA3" w:rsidRDefault="009019D0" w:rsidP="00BD573E">
      <w:pPr>
        <w:pStyle w:val="Corpodetexto"/>
        <w:ind w:left="118"/>
        <w:rPr>
          <w:b/>
        </w:rPr>
      </w:pPr>
    </w:p>
    <w:p w14:paraId="5EF23B00" w14:textId="7EF04D4C" w:rsidR="5618218F" w:rsidRPr="00B62DA3" w:rsidRDefault="00077D37" w:rsidP="41C4D05E">
      <w:pPr>
        <w:widowControl/>
        <w:spacing w:line="300" w:lineRule="auto"/>
        <w:ind w:left="3969"/>
        <w:jc w:val="both"/>
        <w:outlineLvl w:val="0"/>
        <w:rPr>
          <w:b/>
          <w:bCs/>
          <w:sz w:val="20"/>
          <w:szCs w:val="20"/>
          <w:lang w:val="pt-BR" w:eastAsia="pt-BR" w:bidi="ar-SA"/>
        </w:rPr>
      </w:pPr>
      <w:r w:rsidRPr="00077D37">
        <w:rPr>
          <w:b/>
          <w:bCs/>
          <w:sz w:val="20"/>
          <w:szCs w:val="20"/>
          <w:lang w:val="pt-BR" w:eastAsia="pt-BR"/>
        </w:rPr>
        <w:t xml:space="preserve">Orientação aos jurisdicionados do Tribunal de Contas do Estado do Piauí acerca da utilização de recursos do erário com a realização de despesas para o custeio de festas, comemorações, shows e a contratação de artistas e </w:t>
      </w:r>
      <w:proofErr w:type="gramStart"/>
      <w:r w:rsidRPr="00077D37">
        <w:rPr>
          <w:b/>
          <w:bCs/>
          <w:sz w:val="20"/>
          <w:szCs w:val="20"/>
          <w:lang w:val="pt-BR" w:eastAsia="pt-BR"/>
        </w:rPr>
        <w:t>bandas</w:t>
      </w:r>
      <w:proofErr w:type="gramEnd"/>
    </w:p>
    <w:p w14:paraId="55C3C905" w14:textId="08842035" w:rsidR="41C4D05E" w:rsidRPr="00B62DA3" w:rsidRDefault="41C4D05E" w:rsidP="41C4D05E">
      <w:pPr>
        <w:widowControl/>
        <w:spacing w:line="300" w:lineRule="auto"/>
        <w:ind w:left="3969"/>
        <w:jc w:val="both"/>
        <w:outlineLvl w:val="0"/>
        <w:rPr>
          <w:b/>
          <w:bCs/>
          <w:sz w:val="24"/>
          <w:szCs w:val="24"/>
          <w:lang w:val="pt-BR" w:eastAsia="pt-BR" w:bidi="ar-SA"/>
        </w:rPr>
      </w:pPr>
    </w:p>
    <w:p w14:paraId="5AB43636" w14:textId="77777777" w:rsidR="003F2481" w:rsidRPr="00B62DA3" w:rsidRDefault="003F2481" w:rsidP="00D54111">
      <w:pPr>
        <w:pStyle w:val="PargrafodaLista"/>
        <w:spacing w:line="360" w:lineRule="auto"/>
        <w:ind w:left="119" w:right="108" w:firstLine="720"/>
        <w:rPr>
          <w:sz w:val="24"/>
          <w:szCs w:val="24"/>
        </w:rPr>
      </w:pPr>
    </w:p>
    <w:p w14:paraId="7D2F7CE0"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077D37">
        <w:rPr>
          <w:bCs/>
          <w:sz w:val="24"/>
          <w:szCs w:val="24"/>
          <w:lang w:val="pt-BR" w:eastAsia="pt-BR"/>
        </w:rPr>
        <w:t xml:space="preserve">O </w:t>
      </w:r>
      <w:r w:rsidRPr="009019D0">
        <w:rPr>
          <w:b/>
          <w:bCs/>
          <w:sz w:val="24"/>
          <w:szCs w:val="24"/>
          <w:lang w:val="pt-BR" w:eastAsia="pt-BR"/>
        </w:rPr>
        <w:t>TRIBUNAL DE CONTAS DO ESTADO DO PIAUÍ</w:t>
      </w:r>
      <w:r w:rsidRPr="00077D37">
        <w:rPr>
          <w:bCs/>
          <w:sz w:val="24"/>
          <w:szCs w:val="24"/>
          <w:lang w:val="pt-BR" w:eastAsia="pt-BR"/>
        </w:rPr>
        <w:t xml:space="preserve">, no uso de suas atribuições constitucionais, legais e regulamentares, </w:t>
      </w:r>
    </w:p>
    <w:p w14:paraId="3EBBE74B" w14:textId="77777777" w:rsidR="00077D37" w:rsidRDefault="00077D37" w:rsidP="002D06D1">
      <w:pPr>
        <w:widowControl/>
        <w:adjustRightInd w:val="0"/>
        <w:spacing w:line="360" w:lineRule="auto"/>
        <w:ind w:firstLine="1134"/>
        <w:jc w:val="both"/>
        <w:outlineLvl w:val="0"/>
        <w:rPr>
          <w:bCs/>
          <w:sz w:val="24"/>
          <w:szCs w:val="24"/>
          <w:lang w:val="pt-BR" w:eastAsia="pt-BR"/>
        </w:rPr>
      </w:pPr>
    </w:p>
    <w:p w14:paraId="49A4F7F8"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a competência do Tribunal de Contas para fiscalizar os atos dos gestores públicos quanto à legalidade, legitimidade, economicidade, razoabilidade e proporcionalidade; </w:t>
      </w:r>
    </w:p>
    <w:p w14:paraId="503596E8"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o disposto nos art. 34, inciso VII, alínea “d” e "e”, c/c art. 37 e art. 71, incisos I e II, todos da Constituição da República; </w:t>
      </w:r>
    </w:p>
    <w:p w14:paraId="02D049D9"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a quantidade de festividades e shows que contam com patrocínio e/ou repasses de recursos dos municípios, muitas vezes em detrimento de investimentos prioritários determinados pela Constituição e pelas leis orçamentárias nas áreas da saúde, educação, segurança e saneamento, conferindo materialidade e relevância à realização de procedimentos fiscalizatórios por parte dos Órgãos de Controle; </w:t>
      </w:r>
    </w:p>
    <w:p w14:paraId="241EC78C"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que os atos discricionários demandam obediência a parâmetros mínimos a respaldar a sua vinculação aos princípios no ordenamento jurídico pátrio; </w:t>
      </w:r>
    </w:p>
    <w:p w14:paraId="06AE91E1" w14:textId="77777777" w:rsidR="00077D37" w:rsidRDefault="00077D37" w:rsidP="002D06D1">
      <w:pPr>
        <w:widowControl/>
        <w:adjustRightInd w:val="0"/>
        <w:spacing w:line="360" w:lineRule="auto"/>
        <w:ind w:firstLine="1134"/>
        <w:jc w:val="both"/>
        <w:outlineLvl w:val="0"/>
        <w:rPr>
          <w:bCs/>
          <w:sz w:val="24"/>
          <w:szCs w:val="24"/>
          <w:lang w:val="pt-BR" w:eastAsia="pt-BR"/>
        </w:rPr>
      </w:pPr>
      <w:r w:rsidRPr="009019D0">
        <w:rPr>
          <w:b/>
          <w:bCs/>
          <w:sz w:val="24"/>
          <w:szCs w:val="24"/>
          <w:lang w:val="pt-BR" w:eastAsia="pt-BR"/>
        </w:rPr>
        <w:t>CONSIDERANDO</w:t>
      </w:r>
      <w:r w:rsidRPr="00077D37">
        <w:rPr>
          <w:bCs/>
          <w:sz w:val="24"/>
          <w:szCs w:val="24"/>
          <w:lang w:val="pt-BR" w:eastAsia="pt-BR"/>
        </w:rPr>
        <w:t xml:space="preserve"> o disposto no art. 59, § 1°, inciso V, da Lei de Responsabilidade Fiscal (Lei Complementar federal n.º 101/2000), quanto à competência do Tribunal de Contas para emitir alerta preventivo de responsabilidade fiscal em virtude da constatação de fatos que comprometam os custos ou os resultados dos programas ou indícios de irregularidades na gestão orçamentária; </w:t>
      </w:r>
    </w:p>
    <w:p w14:paraId="5AB4363C" w14:textId="721F2061" w:rsidR="00527DF9" w:rsidRPr="00B62DA3" w:rsidRDefault="00077D37" w:rsidP="002D06D1">
      <w:pPr>
        <w:widowControl/>
        <w:adjustRightInd w:val="0"/>
        <w:spacing w:line="360" w:lineRule="auto"/>
        <w:ind w:firstLine="1134"/>
        <w:jc w:val="both"/>
        <w:outlineLvl w:val="0"/>
        <w:rPr>
          <w:bCs/>
          <w:sz w:val="24"/>
          <w:szCs w:val="24"/>
          <w:lang w:val="pt-BR" w:eastAsia="pt-BR" w:bidi="ar-SA"/>
        </w:rPr>
      </w:pPr>
      <w:r w:rsidRPr="009019D0">
        <w:rPr>
          <w:b/>
          <w:bCs/>
          <w:sz w:val="24"/>
          <w:szCs w:val="24"/>
          <w:lang w:val="pt-BR" w:eastAsia="pt-BR"/>
        </w:rPr>
        <w:lastRenderedPageBreak/>
        <w:t>CONSIDERANDO</w:t>
      </w:r>
      <w:r w:rsidRPr="00077D37">
        <w:rPr>
          <w:bCs/>
          <w:sz w:val="24"/>
          <w:szCs w:val="24"/>
          <w:lang w:val="pt-BR" w:eastAsia="pt-BR"/>
        </w:rPr>
        <w:t xml:space="preserve"> o dever de os órgãos de controle externo prevenir irregularidades e elidir a responsabilidade dos gestores, a fim de evitar repetição de ilícitos e a preservar o interesse público dos entes públicos e da coletividade;</w:t>
      </w:r>
    </w:p>
    <w:p w14:paraId="5AB4363D" w14:textId="77777777" w:rsidR="00DC2F9F" w:rsidRPr="00B62DA3" w:rsidRDefault="00DC2F9F" w:rsidP="002D06D1">
      <w:pPr>
        <w:widowControl/>
        <w:adjustRightInd w:val="0"/>
        <w:spacing w:line="360" w:lineRule="auto"/>
        <w:ind w:firstLine="1134"/>
        <w:jc w:val="both"/>
        <w:outlineLvl w:val="0"/>
        <w:rPr>
          <w:bCs/>
          <w:sz w:val="24"/>
          <w:szCs w:val="24"/>
          <w:lang w:val="pt-BR" w:eastAsia="pt-BR" w:bidi="ar-SA"/>
        </w:rPr>
      </w:pPr>
    </w:p>
    <w:p w14:paraId="1B5982D5" w14:textId="77777777" w:rsidR="009019D0" w:rsidRDefault="00077D37" w:rsidP="002D06D1">
      <w:pPr>
        <w:widowControl/>
        <w:adjustRightInd w:val="0"/>
        <w:spacing w:line="360" w:lineRule="auto"/>
        <w:ind w:firstLine="1134"/>
        <w:jc w:val="both"/>
        <w:outlineLvl w:val="0"/>
        <w:rPr>
          <w:b/>
          <w:bCs/>
          <w:sz w:val="24"/>
          <w:szCs w:val="24"/>
          <w:lang w:val="pt-BR" w:eastAsia="pt-BR"/>
        </w:rPr>
      </w:pPr>
      <w:r w:rsidRPr="00077D37">
        <w:rPr>
          <w:b/>
          <w:bCs/>
          <w:sz w:val="24"/>
          <w:szCs w:val="24"/>
          <w:lang w:val="pt-BR" w:eastAsia="pt-BR"/>
        </w:rPr>
        <w:t>RESOLVE</w:t>
      </w:r>
      <w:r w:rsidR="009019D0">
        <w:rPr>
          <w:b/>
          <w:bCs/>
          <w:sz w:val="24"/>
          <w:szCs w:val="24"/>
          <w:lang w:val="pt-BR" w:eastAsia="pt-BR"/>
        </w:rPr>
        <w:t>:</w:t>
      </w:r>
    </w:p>
    <w:p w14:paraId="57150513" w14:textId="77777777" w:rsidR="00825158" w:rsidRDefault="00825158" w:rsidP="002D06D1">
      <w:pPr>
        <w:widowControl/>
        <w:adjustRightInd w:val="0"/>
        <w:spacing w:line="360" w:lineRule="auto"/>
        <w:ind w:firstLine="1134"/>
        <w:jc w:val="both"/>
        <w:outlineLvl w:val="0"/>
        <w:rPr>
          <w:bCs/>
          <w:sz w:val="24"/>
          <w:szCs w:val="24"/>
          <w:lang w:val="pt-BR" w:eastAsia="pt-BR"/>
        </w:rPr>
      </w:pPr>
    </w:p>
    <w:p w14:paraId="5AB4363F" w14:textId="2E568DEE" w:rsidR="00DC2F9F" w:rsidRDefault="009019D0" w:rsidP="002D06D1">
      <w:pPr>
        <w:widowControl/>
        <w:adjustRightInd w:val="0"/>
        <w:spacing w:line="360" w:lineRule="auto"/>
        <w:ind w:firstLine="1134"/>
        <w:jc w:val="both"/>
        <w:outlineLvl w:val="0"/>
        <w:rPr>
          <w:b/>
          <w:bCs/>
          <w:sz w:val="24"/>
          <w:szCs w:val="24"/>
          <w:lang w:val="pt-BR" w:eastAsia="pt-BR" w:bidi="ar-SA"/>
        </w:rPr>
      </w:pPr>
      <w:r>
        <w:rPr>
          <w:bCs/>
          <w:sz w:val="24"/>
          <w:szCs w:val="24"/>
          <w:lang w:val="pt-BR" w:eastAsia="pt-BR"/>
        </w:rPr>
        <w:t>T</w:t>
      </w:r>
      <w:r w:rsidR="00077D37" w:rsidRPr="00077D37">
        <w:rPr>
          <w:bCs/>
          <w:sz w:val="24"/>
          <w:szCs w:val="24"/>
          <w:lang w:val="pt-BR" w:eastAsia="pt-BR"/>
        </w:rPr>
        <w:t>ornar pública a presente Nota Técnica, elaborada Secretaria de Controle Externo – SECEX, por meio da Diretoria de Fiscalização de Gestão e Contas Públicas – DFCONTAS e da Diretoria de Fiscalização de Licitações e Contratos – DFCONTRATOS, com o intuito de colaborar com as gestões municipais e estaduais acerca da utilização de recursos públicos com a realização de despesas para o custeio de festas, comemorações, shows e a contratação de artistas e bandas, em observância às normas de referência (CRFB/88, LRF, Lei n° 8.666/1993, Lei n° 14.133/21, PPA,</w:t>
      </w:r>
      <w:r>
        <w:rPr>
          <w:bCs/>
          <w:sz w:val="24"/>
          <w:szCs w:val="24"/>
          <w:lang w:val="pt-BR" w:eastAsia="pt-BR"/>
        </w:rPr>
        <w:t xml:space="preserve"> LDO e LOA do respectivo ente):</w:t>
      </w:r>
    </w:p>
    <w:p w14:paraId="4D91A916" w14:textId="77777777" w:rsidR="009019D0" w:rsidRPr="00B62DA3" w:rsidRDefault="009019D0" w:rsidP="002D06D1">
      <w:pPr>
        <w:widowControl/>
        <w:adjustRightInd w:val="0"/>
        <w:spacing w:line="360" w:lineRule="auto"/>
        <w:ind w:firstLine="1134"/>
        <w:jc w:val="both"/>
        <w:outlineLvl w:val="0"/>
        <w:rPr>
          <w:bCs/>
          <w:sz w:val="24"/>
          <w:szCs w:val="24"/>
          <w:lang w:val="pt-BR" w:eastAsia="pt-BR" w:bidi="ar-SA"/>
        </w:rPr>
      </w:pPr>
    </w:p>
    <w:p w14:paraId="45C5D523" w14:textId="70CAEC5E" w:rsidR="00077D37" w:rsidRPr="00D20928" w:rsidRDefault="00077D37" w:rsidP="002D06D1">
      <w:pPr>
        <w:widowControl/>
        <w:tabs>
          <w:tab w:val="left" w:pos="851"/>
        </w:tabs>
        <w:spacing w:line="360" w:lineRule="auto"/>
        <w:ind w:left="709" w:hanging="709"/>
        <w:jc w:val="both"/>
        <w:outlineLvl w:val="0"/>
        <w:rPr>
          <w:bCs/>
          <w:sz w:val="24"/>
          <w:szCs w:val="24"/>
          <w:lang w:val="pt-BR" w:eastAsia="pt-BR"/>
        </w:rPr>
      </w:pPr>
      <w:proofErr w:type="gramStart"/>
      <w:r w:rsidRPr="00317E29">
        <w:rPr>
          <w:b/>
          <w:bCs/>
          <w:sz w:val="24"/>
          <w:szCs w:val="24"/>
          <w:lang w:val="pt-BR" w:eastAsia="pt-BR"/>
        </w:rPr>
        <w:t>a</w:t>
      </w:r>
      <w:proofErr w:type="gramEnd"/>
      <w:r w:rsidRPr="00317E29">
        <w:rPr>
          <w:b/>
          <w:bCs/>
          <w:sz w:val="24"/>
          <w:szCs w:val="24"/>
          <w:lang w:val="pt-BR" w:eastAsia="pt-BR"/>
        </w:rPr>
        <w:t>)</w:t>
      </w:r>
      <w:r w:rsidR="00E57477">
        <w:rPr>
          <w:bCs/>
          <w:sz w:val="24"/>
          <w:szCs w:val="24"/>
          <w:lang w:val="pt-BR" w:eastAsia="pt-BR"/>
        </w:rPr>
        <w:tab/>
      </w:r>
      <w:r w:rsidRPr="00D20928">
        <w:rPr>
          <w:bCs/>
          <w:sz w:val="24"/>
          <w:szCs w:val="24"/>
          <w:lang w:val="pt-BR" w:eastAsia="pt-BR"/>
        </w:rPr>
        <w:t xml:space="preserve">O custeio de eventos festivos, a contratação de bandas artísticas e shows com dispêndio de recursos do erário, ressalvados os recursos oriundos de emenda parlamentar com finalidade definida (art. 166-A, II, da CF/88; e art. 179-C, II, da CE/89) e sem contrapartida do respectivo ente, pode configurar despesa ilegítima se: </w:t>
      </w:r>
    </w:p>
    <w:p w14:paraId="5F420C21" w14:textId="620005AF"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1) </w:t>
      </w:r>
      <w:r w:rsidR="00E57477">
        <w:rPr>
          <w:bCs/>
          <w:sz w:val="24"/>
          <w:szCs w:val="24"/>
          <w:lang w:val="pt-BR" w:eastAsia="pt-BR"/>
        </w:rPr>
        <w:tab/>
      </w:r>
      <w:r w:rsidRPr="00D20928">
        <w:rPr>
          <w:bCs/>
          <w:sz w:val="24"/>
          <w:szCs w:val="24"/>
          <w:lang w:val="pt-BR" w:eastAsia="pt-BR"/>
        </w:rPr>
        <w:t xml:space="preserve">Comprometer o resultado da gestão pública, em detrimento da oferta de serviços públicos essenciais, tais como os de saúde, educação, segurança e saneamento; </w:t>
      </w:r>
    </w:p>
    <w:p w14:paraId="1B1A2C8A" w14:textId="038508EE"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2) </w:t>
      </w:r>
      <w:r w:rsidR="00E57477">
        <w:rPr>
          <w:bCs/>
          <w:sz w:val="24"/>
          <w:szCs w:val="24"/>
          <w:lang w:val="pt-BR" w:eastAsia="pt-BR"/>
        </w:rPr>
        <w:tab/>
      </w:r>
      <w:r w:rsidRPr="00D20928">
        <w:rPr>
          <w:bCs/>
          <w:sz w:val="24"/>
          <w:szCs w:val="24"/>
          <w:lang w:val="pt-BR" w:eastAsia="pt-BR"/>
        </w:rPr>
        <w:t xml:space="preserve">Comprometer o cumprimento das metas fiscais estabelecidas na LDO (art. 9º da LRF); </w:t>
      </w:r>
    </w:p>
    <w:p w14:paraId="57C46614" w14:textId="21B45526"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3) </w:t>
      </w:r>
      <w:r w:rsidR="00E57477">
        <w:rPr>
          <w:bCs/>
          <w:sz w:val="24"/>
          <w:szCs w:val="24"/>
          <w:lang w:val="pt-BR" w:eastAsia="pt-BR"/>
        </w:rPr>
        <w:tab/>
      </w:r>
      <w:r w:rsidRPr="00D20928">
        <w:rPr>
          <w:bCs/>
          <w:sz w:val="24"/>
          <w:szCs w:val="24"/>
          <w:lang w:val="pt-BR" w:eastAsia="pt-BR"/>
        </w:rPr>
        <w:t xml:space="preserve">O ente contratante estiver descumprindo os limites mínimos constitucionais de aplicação em manutenção e desenvolvimento do ensino (MDE) e em ações e serviços públicos de saúde (ASPS), com base na publicação dos últimos relatórios da LRF ou apurações desta Corte de Contas; </w:t>
      </w:r>
    </w:p>
    <w:p w14:paraId="4BFDEED1" w14:textId="1E335F9C"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4) </w:t>
      </w:r>
      <w:r w:rsidR="00E57477">
        <w:rPr>
          <w:bCs/>
          <w:sz w:val="24"/>
          <w:szCs w:val="24"/>
          <w:lang w:val="pt-BR" w:eastAsia="pt-BR"/>
        </w:rPr>
        <w:tab/>
      </w:r>
      <w:r w:rsidRPr="00D20928">
        <w:rPr>
          <w:bCs/>
          <w:sz w:val="24"/>
          <w:szCs w:val="24"/>
          <w:lang w:val="pt-BR" w:eastAsia="pt-BR"/>
        </w:rPr>
        <w:t xml:space="preserve">Implicar inadimplemento regular de fornecedores ou descumprimento da ordem cronológica de pagamento, nos termos do art. 141 da Lei n.º 14.133/21; </w:t>
      </w:r>
    </w:p>
    <w:p w14:paraId="3F207D31" w14:textId="33E79E1E"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lastRenderedPageBreak/>
        <w:t>a.</w:t>
      </w:r>
      <w:proofErr w:type="gramEnd"/>
      <w:r w:rsidRPr="00D20928">
        <w:rPr>
          <w:bCs/>
          <w:sz w:val="24"/>
          <w:szCs w:val="24"/>
          <w:lang w:val="pt-BR" w:eastAsia="pt-BR"/>
        </w:rPr>
        <w:t xml:space="preserve">5) </w:t>
      </w:r>
      <w:r w:rsidR="00E57477">
        <w:rPr>
          <w:bCs/>
          <w:sz w:val="24"/>
          <w:szCs w:val="24"/>
          <w:lang w:val="pt-BR" w:eastAsia="pt-BR"/>
        </w:rPr>
        <w:tab/>
      </w:r>
      <w:r w:rsidRPr="00D20928">
        <w:rPr>
          <w:bCs/>
          <w:sz w:val="24"/>
          <w:szCs w:val="24"/>
          <w:lang w:val="pt-BR" w:eastAsia="pt-BR"/>
        </w:rPr>
        <w:t xml:space="preserve">O ente federado estiver inadimplente com o pagamento de quaisquer direitos ou benefícios remuneratórios de servidores públicos do quadro ativo ou inativo; </w:t>
      </w:r>
    </w:p>
    <w:p w14:paraId="414CEE96" w14:textId="57A9B273" w:rsidR="00077D37" w:rsidRPr="00D20928" w:rsidRDefault="00077D37" w:rsidP="00605FFA">
      <w:pPr>
        <w:widowControl/>
        <w:tabs>
          <w:tab w:val="left" w:pos="1560"/>
        </w:tabs>
        <w:spacing w:line="360" w:lineRule="auto"/>
        <w:ind w:left="1560" w:hanging="851"/>
        <w:jc w:val="both"/>
        <w:outlineLvl w:val="0"/>
        <w:rPr>
          <w:bCs/>
          <w:sz w:val="24"/>
          <w:szCs w:val="24"/>
          <w:lang w:val="pt-BR" w:eastAsia="pt-BR"/>
        </w:rPr>
      </w:pPr>
      <w:proofErr w:type="gramStart"/>
      <w:r w:rsidRPr="00D20928">
        <w:rPr>
          <w:bCs/>
          <w:sz w:val="24"/>
          <w:szCs w:val="24"/>
          <w:lang w:val="pt-BR" w:eastAsia="pt-BR"/>
        </w:rPr>
        <w:t>a.</w:t>
      </w:r>
      <w:proofErr w:type="gramEnd"/>
      <w:r w:rsidRPr="00D20928">
        <w:rPr>
          <w:bCs/>
          <w:sz w:val="24"/>
          <w:szCs w:val="24"/>
          <w:lang w:val="pt-BR" w:eastAsia="pt-BR"/>
        </w:rPr>
        <w:t xml:space="preserve">6) </w:t>
      </w:r>
      <w:r w:rsidR="00E57477">
        <w:rPr>
          <w:bCs/>
          <w:sz w:val="24"/>
          <w:szCs w:val="24"/>
          <w:lang w:val="pt-BR" w:eastAsia="pt-BR"/>
        </w:rPr>
        <w:tab/>
      </w:r>
      <w:r w:rsidRPr="00D20928">
        <w:rPr>
          <w:bCs/>
          <w:sz w:val="24"/>
          <w:szCs w:val="24"/>
          <w:lang w:val="pt-BR" w:eastAsia="pt-BR"/>
        </w:rPr>
        <w:t xml:space="preserve">O ente federado deixar de repassar à previdência social, no prazo e na forma legal, as contribuições devidas, patronais ou de seus servidores, ou se utilizar de verbas de fundos vinculados por lei para alcançar finalidade vedada; </w:t>
      </w:r>
    </w:p>
    <w:p w14:paraId="6C7FBFC6" w14:textId="77777777" w:rsidR="009019D0" w:rsidRDefault="009019D0" w:rsidP="002D06D1">
      <w:pPr>
        <w:widowControl/>
        <w:spacing w:line="360" w:lineRule="auto"/>
        <w:jc w:val="both"/>
        <w:outlineLvl w:val="0"/>
        <w:rPr>
          <w:bCs/>
          <w:sz w:val="24"/>
          <w:szCs w:val="24"/>
          <w:lang w:val="pt-BR" w:eastAsia="pt-BR"/>
        </w:rPr>
      </w:pPr>
    </w:p>
    <w:p w14:paraId="1E00AC9D" w14:textId="67A21BF4" w:rsidR="00077D37" w:rsidRPr="00D20928" w:rsidRDefault="00077D37" w:rsidP="002D06D1">
      <w:pPr>
        <w:widowControl/>
        <w:tabs>
          <w:tab w:val="left" w:pos="851"/>
        </w:tabs>
        <w:spacing w:line="360" w:lineRule="auto"/>
        <w:ind w:left="709" w:hanging="709"/>
        <w:jc w:val="both"/>
        <w:outlineLvl w:val="0"/>
        <w:rPr>
          <w:bCs/>
          <w:sz w:val="24"/>
          <w:szCs w:val="24"/>
          <w:lang w:val="pt-BR" w:eastAsia="pt-BR"/>
        </w:rPr>
      </w:pPr>
      <w:proofErr w:type="gramStart"/>
      <w:r w:rsidRPr="00317E29">
        <w:rPr>
          <w:b/>
          <w:bCs/>
          <w:sz w:val="24"/>
          <w:szCs w:val="24"/>
          <w:lang w:val="pt-BR" w:eastAsia="pt-BR"/>
        </w:rPr>
        <w:t>b)</w:t>
      </w:r>
      <w:proofErr w:type="gramEnd"/>
      <w:r w:rsidR="00E57477">
        <w:rPr>
          <w:bCs/>
          <w:sz w:val="24"/>
          <w:szCs w:val="24"/>
          <w:lang w:val="pt-BR" w:eastAsia="pt-BR"/>
        </w:rPr>
        <w:tab/>
      </w:r>
      <w:r w:rsidRPr="00D20928">
        <w:rPr>
          <w:bCs/>
          <w:sz w:val="24"/>
          <w:szCs w:val="24"/>
          <w:lang w:val="pt-BR" w:eastAsia="pt-BR"/>
        </w:rPr>
        <w:t xml:space="preserve">As hipóteses de realização de despesa ilegítima com a realização de festejos de qualquer natureza serão oportunamente apuradas em procedimentos e processos desta Corte de Contas; </w:t>
      </w:r>
    </w:p>
    <w:p w14:paraId="7BECF474" w14:textId="77777777" w:rsidR="009019D0" w:rsidRDefault="009019D0" w:rsidP="002D06D1">
      <w:pPr>
        <w:widowControl/>
        <w:spacing w:line="360" w:lineRule="auto"/>
        <w:jc w:val="both"/>
        <w:outlineLvl w:val="0"/>
        <w:rPr>
          <w:bCs/>
          <w:sz w:val="24"/>
          <w:szCs w:val="24"/>
          <w:lang w:val="pt-BR" w:eastAsia="pt-BR"/>
        </w:rPr>
      </w:pPr>
    </w:p>
    <w:p w14:paraId="3A098A05" w14:textId="0449C6BF" w:rsidR="00077D37" w:rsidRPr="00D20928" w:rsidRDefault="00077D37" w:rsidP="002D06D1">
      <w:pPr>
        <w:widowControl/>
        <w:tabs>
          <w:tab w:val="left" w:pos="851"/>
        </w:tabs>
        <w:spacing w:line="360" w:lineRule="auto"/>
        <w:ind w:left="709" w:hanging="709"/>
        <w:jc w:val="both"/>
        <w:outlineLvl w:val="0"/>
        <w:rPr>
          <w:bCs/>
          <w:sz w:val="24"/>
          <w:szCs w:val="24"/>
          <w:lang w:val="pt-BR" w:eastAsia="pt-BR"/>
        </w:rPr>
      </w:pPr>
      <w:proofErr w:type="gramStart"/>
      <w:r w:rsidRPr="00317E29">
        <w:rPr>
          <w:b/>
          <w:bCs/>
          <w:sz w:val="24"/>
          <w:szCs w:val="24"/>
          <w:lang w:val="pt-BR" w:eastAsia="pt-BR"/>
        </w:rPr>
        <w:t>c)</w:t>
      </w:r>
      <w:proofErr w:type="gramEnd"/>
      <w:r w:rsidR="00E57477">
        <w:rPr>
          <w:bCs/>
          <w:sz w:val="24"/>
          <w:szCs w:val="24"/>
          <w:lang w:val="pt-BR" w:eastAsia="pt-BR"/>
        </w:rPr>
        <w:tab/>
      </w:r>
      <w:r w:rsidRPr="00D20928">
        <w:rPr>
          <w:bCs/>
          <w:sz w:val="24"/>
          <w:szCs w:val="24"/>
          <w:lang w:val="pt-BR" w:eastAsia="pt-BR"/>
        </w:rPr>
        <w:t xml:space="preserve">Após a avaliação dos pressupostos anteriormente indicados, caso a administração decida ser conveniente e oportuna a realização de festividades custeadas com recursos públicos, ainda que oriundos de emenda parlamentar, no que tange à fase de planejamento das contratações, deve observar: </w:t>
      </w:r>
    </w:p>
    <w:p w14:paraId="0603AF84" w14:textId="3FD0084E" w:rsidR="00077D37" w:rsidRPr="00D20928" w:rsidRDefault="00E57477" w:rsidP="00605FFA">
      <w:pPr>
        <w:widowControl/>
        <w:tabs>
          <w:tab w:val="left" w:pos="426"/>
          <w:tab w:val="left" w:pos="1701"/>
          <w:tab w:val="left" w:pos="1985"/>
        </w:tabs>
        <w:spacing w:line="360" w:lineRule="auto"/>
        <w:ind w:left="1701" w:hanging="992"/>
        <w:jc w:val="both"/>
        <w:outlineLvl w:val="0"/>
        <w:rPr>
          <w:bCs/>
          <w:sz w:val="24"/>
          <w:szCs w:val="24"/>
          <w:lang w:val="pt-BR" w:eastAsia="pt-BR"/>
        </w:rPr>
      </w:pPr>
      <w:proofErr w:type="gramStart"/>
      <w:r>
        <w:rPr>
          <w:bCs/>
          <w:sz w:val="24"/>
          <w:szCs w:val="24"/>
          <w:lang w:val="pt-BR" w:eastAsia="pt-BR"/>
        </w:rPr>
        <w:t>c.</w:t>
      </w:r>
      <w:proofErr w:type="gramEnd"/>
      <w:r>
        <w:rPr>
          <w:bCs/>
          <w:sz w:val="24"/>
          <w:szCs w:val="24"/>
          <w:lang w:val="pt-BR" w:eastAsia="pt-BR"/>
        </w:rPr>
        <w:t>1)</w:t>
      </w:r>
      <w:r>
        <w:rPr>
          <w:bCs/>
          <w:sz w:val="24"/>
          <w:szCs w:val="24"/>
          <w:lang w:val="pt-BR" w:eastAsia="pt-BR"/>
        </w:rPr>
        <w:tab/>
      </w:r>
      <w:r w:rsidR="00077D37" w:rsidRPr="00D20928">
        <w:rPr>
          <w:bCs/>
          <w:sz w:val="24"/>
          <w:szCs w:val="24"/>
          <w:lang w:val="pt-BR" w:eastAsia="pt-BR"/>
        </w:rPr>
        <w:t xml:space="preserve">A existência de prévio planejamento público acerca da programação de festividades para ocorrerem ao longo do exercício financeiro que impliquem na contratação de artistas ou de estrutura para realização de eventos; </w:t>
      </w:r>
    </w:p>
    <w:p w14:paraId="5ED0D8D7" w14:textId="5C24AF74" w:rsidR="009019D0" w:rsidRDefault="00E57477" w:rsidP="00605FFA">
      <w:pPr>
        <w:widowControl/>
        <w:tabs>
          <w:tab w:val="left" w:pos="1701"/>
          <w:tab w:val="left" w:pos="1985"/>
        </w:tabs>
        <w:spacing w:line="360" w:lineRule="auto"/>
        <w:ind w:left="1701" w:hanging="992"/>
        <w:jc w:val="both"/>
        <w:outlineLvl w:val="0"/>
        <w:rPr>
          <w:bCs/>
          <w:sz w:val="24"/>
          <w:szCs w:val="24"/>
          <w:lang w:val="pt-BR" w:eastAsia="pt-BR"/>
        </w:rPr>
      </w:pPr>
      <w:proofErr w:type="gramStart"/>
      <w:r>
        <w:rPr>
          <w:bCs/>
          <w:sz w:val="24"/>
          <w:szCs w:val="24"/>
          <w:lang w:val="pt-BR" w:eastAsia="pt-BR"/>
        </w:rPr>
        <w:t>c.</w:t>
      </w:r>
      <w:proofErr w:type="gramEnd"/>
      <w:r>
        <w:rPr>
          <w:bCs/>
          <w:sz w:val="24"/>
          <w:szCs w:val="24"/>
          <w:lang w:val="pt-BR" w:eastAsia="pt-BR"/>
        </w:rPr>
        <w:t>2)</w:t>
      </w:r>
      <w:r>
        <w:rPr>
          <w:bCs/>
          <w:sz w:val="24"/>
          <w:szCs w:val="24"/>
          <w:lang w:val="pt-BR" w:eastAsia="pt-BR"/>
        </w:rPr>
        <w:tab/>
      </w:r>
      <w:r w:rsidR="00077D37" w:rsidRPr="00D20928">
        <w:rPr>
          <w:bCs/>
          <w:sz w:val="24"/>
          <w:szCs w:val="24"/>
          <w:lang w:val="pt-BR" w:eastAsia="pt-BR"/>
        </w:rPr>
        <w:t>A existência de previsão de gastos com essas festividades na Lei Orçamentária Anual, seja por meio de dotação especí</w:t>
      </w:r>
      <w:r w:rsidR="009019D0">
        <w:rPr>
          <w:bCs/>
          <w:sz w:val="24"/>
          <w:szCs w:val="24"/>
          <w:lang w:val="pt-BR" w:eastAsia="pt-BR"/>
        </w:rPr>
        <w:t>fica ou de créditos adicionais;</w:t>
      </w:r>
    </w:p>
    <w:p w14:paraId="10BC73B6" w14:textId="77777777" w:rsidR="009019D0" w:rsidRDefault="009019D0" w:rsidP="002D06D1">
      <w:pPr>
        <w:widowControl/>
        <w:spacing w:line="360" w:lineRule="auto"/>
        <w:jc w:val="both"/>
        <w:outlineLvl w:val="0"/>
        <w:rPr>
          <w:bCs/>
          <w:sz w:val="24"/>
          <w:szCs w:val="24"/>
          <w:lang w:val="pt-BR" w:eastAsia="pt-BR"/>
        </w:rPr>
      </w:pPr>
    </w:p>
    <w:p w14:paraId="4D17C30B" w14:textId="2D459ED7" w:rsidR="00077D37" w:rsidRPr="00D20928" w:rsidRDefault="00077D37" w:rsidP="002D06D1">
      <w:pPr>
        <w:widowControl/>
        <w:tabs>
          <w:tab w:val="left" w:pos="709"/>
        </w:tabs>
        <w:spacing w:line="360" w:lineRule="auto"/>
        <w:ind w:left="709" w:hanging="709"/>
        <w:jc w:val="both"/>
        <w:outlineLvl w:val="0"/>
        <w:rPr>
          <w:bCs/>
          <w:sz w:val="24"/>
          <w:szCs w:val="24"/>
          <w:lang w:val="pt-BR" w:eastAsia="pt-BR"/>
        </w:rPr>
      </w:pPr>
      <w:r w:rsidRPr="00317E29">
        <w:rPr>
          <w:b/>
          <w:bCs/>
          <w:sz w:val="24"/>
          <w:szCs w:val="24"/>
          <w:lang w:val="pt-BR" w:eastAsia="pt-BR"/>
        </w:rPr>
        <w:t>d)</w:t>
      </w:r>
      <w:r w:rsidRPr="00D20928">
        <w:rPr>
          <w:bCs/>
          <w:sz w:val="24"/>
          <w:szCs w:val="24"/>
          <w:lang w:val="pt-BR" w:eastAsia="pt-BR"/>
        </w:rPr>
        <w:t xml:space="preserve"> </w:t>
      </w:r>
      <w:r w:rsidR="002D06D1">
        <w:rPr>
          <w:bCs/>
          <w:sz w:val="24"/>
          <w:szCs w:val="24"/>
          <w:lang w:val="pt-BR" w:eastAsia="pt-BR"/>
        </w:rPr>
        <w:tab/>
      </w:r>
      <w:r w:rsidRPr="00D20928">
        <w:rPr>
          <w:bCs/>
          <w:sz w:val="24"/>
          <w:szCs w:val="24"/>
          <w:lang w:val="pt-BR" w:eastAsia="pt-BR"/>
        </w:rPr>
        <w:t xml:space="preserve">Quanto ao procedimento de inexigibilidade de licitação para contratação de artistas consagrados: </w:t>
      </w:r>
    </w:p>
    <w:p w14:paraId="7768EF84" w14:textId="15A12A2B" w:rsidR="00077D37" w:rsidRPr="00D20928" w:rsidRDefault="002D06D1" w:rsidP="00605FFA">
      <w:pPr>
        <w:widowControl/>
        <w:tabs>
          <w:tab w:val="left" w:pos="1701"/>
          <w:tab w:val="left" w:pos="1985"/>
        </w:tabs>
        <w:spacing w:line="360" w:lineRule="auto"/>
        <w:ind w:left="1701" w:hanging="992"/>
        <w:jc w:val="both"/>
        <w:outlineLvl w:val="0"/>
        <w:rPr>
          <w:bCs/>
          <w:sz w:val="24"/>
          <w:szCs w:val="24"/>
          <w:lang w:eastAsia="pt-BR"/>
        </w:rPr>
      </w:pPr>
      <w:proofErr w:type="gramStart"/>
      <w:r>
        <w:rPr>
          <w:bCs/>
          <w:sz w:val="24"/>
          <w:szCs w:val="24"/>
          <w:lang w:val="pt-BR" w:eastAsia="pt-BR"/>
        </w:rPr>
        <w:t>d.</w:t>
      </w:r>
      <w:proofErr w:type="gramEnd"/>
      <w:r>
        <w:rPr>
          <w:bCs/>
          <w:sz w:val="24"/>
          <w:szCs w:val="24"/>
          <w:lang w:val="pt-BR" w:eastAsia="pt-BR"/>
        </w:rPr>
        <w:t>1)</w:t>
      </w:r>
      <w:r>
        <w:rPr>
          <w:bCs/>
          <w:sz w:val="24"/>
          <w:szCs w:val="24"/>
          <w:lang w:val="pt-BR" w:eastAsia="pt-BR"/>
        </w:rPr>
        <w:tab/>
      </w:r>
      <w:r w:rsidR="00077D37" w:rsidRPr="00D20928">
        <w:rPr>
          <w:bCs/>
          <w:sz w:val="24"/>
          <w:szCs w:val="24"/>
          <w:lang w:val="pt-BR" w:eastAsia="pt-BR"/>
        </w:rPr>
        <w:t>Deve-se instruir o procedimento de contratação direta com os documentos indicados no art. 72 da Lei n.º 14.133/21 ou, se de alguma forma tiver ocorrido a pretérita opção por contratar diretamente pela Lei n.º 8.666/93 nos termos do</w:t>
      </w:r>
      <w:r w:rsidR="00077D37" w:rsidRPr="00D20928">
        <w:rPr>
          <w:bCs/>
          <w:sz w:val="24"/>
          <w:szCs w:val="24"/>
          <w:lang w:eastAsia="pt-BR"/>
        </w:rPr>
        <w:t xml:space="preserve">art. 191 da Lei n.º 14.133/21, com os documentos constantes do parágrafo único do art. 26 do normativo revogado; </w:t>
      </w:r>
    </w:p>
    <w:p w14:paraId="5E3482B2" w14:textId="18EF83A5" w:rsidR="00077D37" w:rsidRPr="00D20928" w:rsidRDefault="002D06D1" w:rsidP="00605FFA">
      <w:pPr>
        <w:widowControl/>
        <w:tabs>
          <w:tab w:val="left" w:pos="1701"/>
          <w:tab w:val="left" w:pos="1985"/>
        </w:tabs>
        <w:spacing w:line="360" w:lineRule="auto"/>
        <w:ind w:left="1701" w:hanging="992"/>
        <w:jc w:val="both"/>
        <w:outlineLvl w:val="0"/>
        <w:rPr>
          <w:bCs/>
          <w:sz w:val="24"/>
          <w:szCs w:val="24"/>
          <w:lang w:eastAsia="pt-BR"/>
        </w:rPr>
      </w:pPr>
      <w:proofErr w:type="gramStart"/>
      <w:r>
        <w:rPr>
          <w:bCs/>
          <w:sz w:val="24"/>
          <w:szCs w:val="24"/>
          <w:lang w:eastAsia="pt-BR"/>
        </w:rPr>
        <w:lastRenderedPageBreak/>
        <w:t>d.</w:t>
      </w:r>
      <w:proofErr w:type="gramEnd"/>
      <w:r>
        <w:rPr>
          <w:bCs/>
          <w:sz w:val="24"/>
          <w:szCs w:val="24"/>
          <w:lang w:eastAsia="pt-BR"/>
        </w:rPr>
        <w:t>2)</w:t>
      </w:r>
      <w:r>
        <w:rPr>
          <w:bCs/>
          <w:sz w:val="24"/>
          <w:szCs w:val="24"/>
          <w:lang w:eastAsia="pt-BR"/>
        </w:rPr>
        <w:tab/>
      </w:r>
      <w:r w:rsidR="00077D37" w:rsidRPr="00D20928">
        <w:rPr>
          <w:bCs/>
          <w:sz w:val="24"/>
          <w:szCs w:val="24"/>
          <w:lang w:eastAsia="pt-BR"/>
        </w:rPr>
        <w:t xml:space="preserve">A demonstração da adequação legal da contratação do artista por inexigibilidade de licitação aos termos do art.74, II, da Lei n.º 14.133/2021 ou art. 25, III, da Lei n.º 8.666/93, devendo ser demonstrada a consagração artística por meio da apresentação de matérias jornalísticas, publicações da crítica/mídia especializada, divulgação na internet ou outros meios que comprovem o reconhecimento público e indiquem se tratar de artista consagrado pela opinião pública local, regional ou nacional; </w:t>
      </w:r>
    </w:p>
    <w:p w14:paraId="0EF00DE9" w14:textId="7A32226D" w:rsidR="00077D37" w:rsidRPr="00D20928" w:rsidRDefault="002D06D1" w:rsidP="00605FFA">
      <w:pPr>
        <w:widowControl/>
        <w:tabs>
          <w:tab w:val="left" w:pos="1701"/>
          <w:tab w:val="left" w:pos="1985"/>
        </w:tabs>
        <w:spacing w:line="360" w:lineRule="auto"/>
        <w:ind w:left="1701" w:hanging="992"/>
        <w:jc w:val="both"/>
        <w:outlineLvl w:val="0"/>
        <w:rPr>
          <w:bCs/>
          <w:sz w:val="24"/>
          <w:szCs w:val="24"/>
          <w:lang w:eastAsia="pt-BR"/>
        </w:rPr>
      </w:pPr>
      <w:proofErr w:type="gramStart"/>
      <w:r>
        <w:rPr>
          <w:bCs/>
          <w:sz w:val="24"/>
          <w:szCs w:val="24"/>
          <w:lang w:eastAsia="pt-BR"/>
        </w:rPr>
        <w:t>d.</w:t>
      </w:r>
      <w:proofErr w:type="gramEnd"/>
      <w:r>
        <w:rPr>
          <w:bCs/>
          <w:sz w:val="24"/>
          <w:szCs w:val="24"/>
          <w:lang w:eastAsia="pt-BR"/>
        </w:rPr>
        <w:t>3)</w:t>
      </w:r>
      <w:r>
        <w:rPr>
          <w:bCs/>
          <w:sz w:val="24"/>
          <w:szCs w:val="24"/>
          <w:lang w:eastAsia="pt-BR"/>
        </w:rPr>
        <w:tab/>
      </w:r>
      <w:r w:rsidR="00077D37" w:rsidRPr="00D20928">
        <w:rPr>
          <w:bCs/>
          <w:sz w:val="24"/>
          <w:szCs w:val="24"/>
          <w:lang w:eastAsia="pt-BR"/>
        </w:rPr>
        <w:t xml:space="preserve">Caso a contratação do artista ocorra por meio de representante exclusivo, a exclusividade deve ser comprovada mediante carta de exclusividade, contrato de exclusividade ou do instrumento de procuração, registrados em cartório, não sendo admitida a apresentação de autorização/atesto/carta de exclusividade restrita aos dias e à localidade do evento; </w:t>
      </w:r>
    </w:p>
    <w:p w14:paraId="3488EA90" w14:textId="37690E98" w:rsidR="00077D37" w:rsidRPr="00D20928" w:rsidRDefault="00077D37" w:rsidP="00605FFA">
      <w:pPr>
        <w:widowControl/>
        <w:tabs>
          <w:tab w:val="left" w:pos="1701"/>
          <w:tab w:val="left" w:pos="1985"/>
        </w:tabs>
        <w:spacing w:line="360" w:lineRule="auto"/>
        <w:ind w:left="1701" w:hanging="992"/>
        <w:jc w:val="both"/>
        <w:outlineLvl w:val="0"/>
        <w:rPr>
          <w:bCs/>
          <w:sz w:val="24"/>
          <w:szCs w:val="24"/>
          <w:lang w:eastAsia="pt-BR"/>
        </w:rPr>
      </w:pPr>
      <w:proofErr w:type="gramStart"/>
      <w:r w:rsidRPr="00D20928">
        <w:rPr>
          <w:bCs/>
          <w:sz w:val="24"/>
          <w:szCs w:val="24"/>
          <w:lang w:eastAsia="pt-BR"/>
        </w:rPr>
        <w:t>d.</w:t>
      </w:r>
      <w:proofErr w:type="gramEnd"/>
      <w:r w:rsidRPr="00D20928">
        <w:rPr>
          <w:bCs/>
          <w:sz w:val="24"/>
          <w:szCs w:val="24"/>
          <w:lang w:eastAsia="pt-BR"/>
        </w:rPr>
        <w:t xml:space="preserve">4) </w:t>
      </w:r>
      <w:r w:rsidR="00E57477">
        <w:rPr>
          <w:bCs/>
          <w:sz w:val="24"/>
          <w:szCs w:val="24"/>
          <w:lang w:eastAsia="pt-BR"/>
        </w:rPr>
        <w:tab/>
      </w:r>
      <w:r w:rsidRPr="00D20928">
        <w:rPr>
          <w:bCs/>
          <w:sz w:val="24"/>
          <w:szCs w:val="24"/>
          <w:lang w:eastAsia="pt-BR"/>
        </w:rPr>
        <w:t xml:space="preserve">A justificativa dos valores da contratação do artista por inexigibilidade deve contemplar, preferencialmente, o comparativo com o preço pago por outros entes da administração pública em suas contratações anteriores assemelhadas, no período de até 01 (um) ano, contado da contratação pretendida, bem como com os valores praticadas pelo artista em contratações similares, nos termos do art. 23, § 4º, da Lei n.º 14.133/21, devendo o contratado comprovar a preço praticado por meio da apresentação de notas fiscais ou por outro meio idôneo; </w:t>
      </w:r>
    </w:p>
    <w:p w14:paraId="7D1B05DA" w14:textId="77777777" w:rsidR="009019D0" w:rsidRDefault="009019D0" w:rsidP="002D06D1">
      <w:pPr>
        <w:widowControl/>
        <w:spacing w:line="360" w:lineRule="auto"/>
        <w:jc w:val="both"/>
        <w:outlineLvl w:val="0"/>
        <w:rPr>
          <w:bCs/>
          <w:sz w:val="24"/>
          <w:szCs w:val="24"/>
          <w:lang w:eastAsia="pt-BR"/>
        </w:rPr>
      </w:pPr>
    </w:p>
    <w:p w14:paraId="7C6402C3" w14:textId="2763769B" w:rsidR="00077D37" w:rsidRPr="00D20928" w:rsidRDefault="00077D37" w:rsidP="002D06D1">
      <w:pPr>
        <w:widowControl/>
        <w:tabs>
          <w:tab w:val="left" w:pos="993"/>
        </w:tabs>
        <w:spacing w:line="360" w:lineRule="auto"/>
        <w:ind w:left="709" w:hanging="709"/>
        <w:jc w:val="both"/>
        <w:outlineLvl w:val="0"/>
        <w:rPr>
          <w:bCs/>
          <w:sz w:val="24"/>
          <w:szCs w:val="24"/>
          <w:lang w:eastAsia="pt-BR"/>
        </w:rPr>
      </w:pPr>
      <w:proofErr w:type="gramStart"/>
      <w:r w:rsidRPr="00317E29">
        <w:rPr>
          <w:b/>
          <w:bCs/>
          <w:sz w:val="24"/>
          <w:szCs w:val="24"/>
          <w:lang w:eastAsia="pt-BR"/>
        </w:rPr>
        <w:t>e</w:t>
      </w:r>
      <w:proofErr w:type="gramEnd"/>
      <w:r w:rsidRPr="00317E29">
        <w:rPr>
          <w:b/>
          <w:bCs/>
          <w:sz w:val="24"/>
          <w:szCs w:val="24"/>
          <w:lang w:eastAsia="pt-BR"/>
        </w:rPr>
        <w:t>)</w:t>
      </w:r>
      <w:r w:rsidR="002D06D1">
        <w:rPr>
          <w:bCs/>
          <w:sz w:val="24"/>
          <w:szCs w:val="24"/>
          <w:lang w:eastAsia="pt-BR"/>
        </w:rPr>
        <w:tab/>
      </w:r>
      <w:r w:rsidRPr="00D20928">
        <w:rPr>
          <w:bCs/>
          <w:sz w:val="24"/>
          <w:szCs w:val="24"/>
          <w:lang w:eastAsia="pt-BR"/>
        </w:rPr>
        <w:t xml:space="preserve">Para a contratação de artistas não consagrados pela opinião pública ou crítica especializada, uma vez que não é juridicamente viável a contratação fundamentada no inciso II do art. 74 da Lei n.º 14.133/2021, a administração pode se utilizar de licitação na modalidade concurso, prevista no art. 30 da Lei n.º 14.133/2021, ou, quando devidamente justificado, poderá utilizar o procedimento auxiliar de credenciamento, o qual deve ser efetuado por meio de chamamento dos interessados, sendo necessária a apresentação da justificativa do preço e da razão de escolha dos contratados; </w:t>
      </w:r>
    </w:p>
    <w:p w14:paraId="28AFB5CE" w14:textId="77777777" w:rsidR="009019D0" w:rsidRDefault="009019D0" w:rsidP="002D06D1">
      <w:pPr>
        <w:widowControl/>
        <w:spacing w:line="360" w:lineRule="auto"/>
        <w:jc w:val="both"/>
        <w:outlineLvl w:val="0"/>
        <w:rPr>
          <w:bCs/>
          <w:sz w:val="24"/>
          <w:szCs w:val="24"/>
          <w:lang w:eastAsia="pt-BR"/>
        </w:rPr>
      </w:pPr>
    </w:p>
    <w:p w14:paraId="3868465F" w14:textId="7106D37B" w:rsidR="00077D37" w:rsidRPr="00D20928" w:rsidRDefault="00077D37" w:rsidP="002D06D1">
      <w:pPr>
        <w:widowControl/>
        <w:tabs>
          <w:tab w:val="left" w:pos="993"/>
        </w:tabs>
        <w:spacing w:line="360" w:lineRule="auto"/>
        <w:ind w:left="709" w:hanging="709"/>
        <w:jc w:val="both"/>
        <w:outlineLvl w:val="0"/>
        <w:rPr>
          <w:bCs/>
          <w:sz w:val="24"/>
          <w:szCs w:val="24"/>
          <w:lang w:eastAsia="pt-BR"/>
        </w:rPr>
      </w:pPr>
      <w:proofErr w:type="gramStart"/>
      <w:r w:rsidRPr="00317E29">
        <w:rPr>
          <w:b/>
          <w:bCs/>
          <w:sz w:val="24"/>
          <w:szCs w:val="24"/>
          <w:lang w:eastAsia="pt-BR"/>
        </w:rPr>
        <w:lastRenderedPageBreak/>
        <w:t>f)</w:t>
      </w:r>
      <w:proofErr w:type="gramEnd"/>
      <w:r w:rsidR="002D06D1">
        <w:rPr>
          <w:bCs/>
          <w:sz w:val="24"/>
          <w:szCs w:val="24"/>
          <w:lang w:eastAsia="pt-BR"/>
        </w:rPr>
        <w:tab/>
      </w:r>
      <w:r w:rsidRPr="00D20928">
        <w:rPr>
          <w:bCs/>
          <w:sz w:val="24"/>
          <w:szCs w:val="24"/>
          <w:lang w:eastAsia="pt-BR"/>
        </w:rPr>
        <w:t xml:space="preserve">No que diz respeito a outras contratações e ajustes relacionados à realização de festas, comemorações e eventos: </w:t>
      </w:r>
    </w:p>
    <w:p w14:paraId="12DAEEC4" w14:textId="5DDBE796" w:rsidR="1AD5D396" w:rsidRPr="00D20928" w:rsidRDefault="002D06D1" w:rsidP="00605FFA">
      <w:pPr>
        <w:widowControl/>
        <w:tabs>
          <w:tab w:val="left" w:pos="1843"/>
        </w:tabs>
        <w:spacing w:line="360" w:lineRule="auto"/>
        <w:ind w:left="1701" w:hanging="992"/>
        <w:jc w:val="both"/>
        <w:outlineLvl w:val="0"/>
        <w:rPr>
          <w:bCs/>
          <w:sz w:val="24"/>
          <w:szCs w:val="24"/>
          <w:lang w:eastAsia="pt-BR"/>
        </w:rPr>
      </w:pPr>
      <w:proofErr w:type="gramStart"/>
      <w:r>
        <w:rPr>
          <w:bCs/>
          <w:sz w:val="24"/>
          <w:szCs w:val="24"/>
          <w:lang w:eastAsia="pt-BR"/>
        </w:rPr>
        <w:t>f.</w:t>
      </w:r>
      <w:proofErr w:type="gramEnd"/>
      <w:r>
        <w:rPr>
          <w:bCs/>
          <w:sz w:val="24"/>
          <w:szCs w:val="24"/>
          <w:lang w:eastAsia="pt-BR"/>
        </w:rPr>
        <w:t>1)</w:t>
      </w:r>
      <w:r>
        <w:rPr>
          <w:bCs/>
          <w:sz w:val="24"/>
          <w:szCs w:val="24"/>
          <w:lang w:eastAsia="pt-BR"/>
        </w:rPr>
        <w:tab/>
      </w:r>
      <w:r w:rsidR="00077D37" w:rsidRPr="00D20928">
        <w:rPr>
          <w:bCs/>
          <w:sz w:val="24"/>
          <w:szCs w:val="24"/>
          <w:lang w:eastAsia="pt-BR"/>
        </w:rPr>
        <w:t>A contratação de infraestrutura destinada à promoção de festividades não deve ser feita por processo de inexigibilidade, uma vez que ela não está incluída nas hipóteses estabelecidas no art. 74 da Lei n° 14.133/21. Quando da instauração de procedimento licitatório, este deve ser realizado preferencialmente na modalidade pregão, por se tratar de serviços de natureza comum, passíveis de serem prestados por diversas e diferentes empresas, uma vez que se baseiam em especificações e padrões conhecidos e usuais de mercado;</w:t>
      </w:r>
    </w:p>
    <w:p w14:paraId="78916490" w14:textId="58504D91" w:rsidR="00077D37" w:rsidRPr="00D20928" w:rsidRDefault="002D06D1" w:rsidP="00605FFA">
      <w:pPr>
        <w:widowControl/>
        <w:tabs>
          <w:tab w:val="left" w:pos="1701"/>
        </w:tabs>
        <w:spacing w:line="360" w:lineRule="auto"/>
        <w:ind w:left="1701" w:hanging="992"/>
        <w:jc w:val="both"/>
        <w:outlineLvl w:val="0"/>
        <w:rPr>
          <w:bCs/>
          <w:sz w:val="24"/>
          <w:szCs w:val="24"/>
          <w:lang w:val="pt-BR" w:eastAsia="pt-BR"/>
        </w:rPr>
      </w:pPr>
      <w:proofErr w:type="gramStart"/>
      <w:r>
        <w:rPr>
          <w:bCs/>
          <w:sz w:val="24"/>
          <w:szCs w:val="24"/>
          <w:lang w:eastAsia="pt-BR"/>
        </w:rPr>
        <w:t>f.</w:t>
      </w:r>
      <w:proofErr w:type="gramEnd"/>
      <w:r>
        <w:rPr>
          <w:bCs/>
          <w:sz w:val="24"/>
          <w:szCs w:val="24"/>
          <w:lang w:eastAsia="pt-BR"/>
        </w:rPr>
        <w:t>2)</w:t>
      </w:r>
      <w:r>
        <w:rPr>
          <w:bCs/>
          <w:sz w:val="24"/>
          <w:szCs w:val="24"/>
          <w:lang w:eastAsia="pt-BR"/>
        </w:rPr>
        <w:tab/>
      </w:r>
      <w:r w:rsidR="00077D37" w:rsidRPr="00D20928">
        <w:rPr>
          <w:bCs/>
          <w:sz w:val="24"/>
          <w:szCs w:val="24"/>
          <w:lang w:eastAsia="pt-BR"/>
        </w:rPr>
        <w:t>A destinação de espaços públicos por meio de permissão, autorização ou cessão de uso exclusivo a particulares, para fins de exploração econômica em festas e eventos realizados pelo poder público, deve ser precedida de processo administrativo, o qual deve observar a publicidade, a ampla concorrência e, quando possível, o efetivo retorno financeiro para a administração, a fim de justificar o ajuste.</w:t>
      </w:r>
    </w:p>
    <w:p w14:paraId="4DD3FC3E" w14:textId="77777777" w:rsidR="00591B59" w:rsidRPr="00B62DA3" w:rsidRDefault="00591B59" w:rsidP="002D06D1">
      <w:pPr>
        <w:widowControl/>
        <w:adjustRightInd w:val="0"/>
        <w:spacing w:line="360" w:lineRule="auto"/>
        <w:ind w:firstLine="1134"/>
        <w:jc w:val="both"/>
        <w:outlineLvl w:val="0"/>
        <w:rPr>
          <w:bCs/>
          <w:sz w:val="24"/>
          <w:szCs w:val="24"/>
          <w:lang w:val="pt-BR" w:eastAsia="pt-BR" w:bidi="ar-SA"/>
        </w:rPr>
      </w:pPr>
    </w:p>
    <w:p w14:paraId="5AB43643" w14:textId="77777777" w:rsidR="00BC7413" w:rsidRDefault="00BC7413" w:rsidP="002D06D1">
      <w:pPr>
        <w:widowControl/>
        <w:adjustRightInd w:val="0"/>
        <w:spacing w:line="360" w:lineRule="auto"/>
        <w:ind w:firstLine="1134"/>
        <w:jc w:val="both"/>
        <w:outlineLvl w:val="0"/>
        <w:rPr>
          <w:bCs/>
          <w:sz w:val="24"/>
          <w:szCs w:val="24"/>
          <w:lang w:val="pt-BR" w:eastAsia="pt-BR" w:bidi="ar-SA"/>
        </w:rPr>
      </w:pPr>
    </w:p>
    <w:p w14:paraId="0A44B3F2" w14:textId="0587BFE9" w:rsidR="00B62DA3" w:rsidRDefault="00B62DA3" w:rsidP="002D06D1">
      <w:pPr>
        <w:shd w:val="clear" w:color="auto" w:fill="FFFFFF"/>
        <w:spacing w:line="360" w:lineRule="auto"/>
        <w:ind w:firstLine="709"/>
        <w:jc w:val="both"/>
        <w:rPr>
          <w:color w:val="FF0000"/>
          <w:sz w:val="24"/>
          <w:szCs w:val="24"/>
        </w:rPr>
      </w:pPr>
      <w:r w:rsidRPr="00C04917">
        <w:rPr>
          <w:color w:val="000000"/>
          <w:sz w:val="24"/>
          <w:szCs w:val="24"/>
        </w:rPr>
        <w:t xml:space="preserve">Sala das Sessões do Tribunal de Contas do Estado do Piauí, em Teresina, </w:t>
      </w:r>
      <w:r w:rsidR="00077D37">
        <w:rPr>
          <w:sz w:val="24"/>
          <w:szCs w:val="24"/>
        </w:rPr>
        <w:t>23</w:t>
      </w:r>
      <w:r w:rsidRPr="00C76B15">
        <w:rPr>
          <w:sz w:val="24"/>
          <w:szCs w:val="24"/>
        </w:rPr>
        <w:t xml:space="preserve"> de </w:t>
      </w:r>
      <w:r w:rsidR="00077D37">
        <w:rPr>
          <w:sz w:val="24"/>
          <w:szCs w:val="24"/>
        </w:rPr>
        <w:t>maio de 2024</w:t>
      </w:r>
      <w:r w:rsidRPr="00C76B15">
        <w:rPr>
          <w:sz w:val="24"/>
          <w:szCs w:val="24"/>
        </w:rPr>
        <w:t>.</w:t>
      </w:r>
    </w:p>
    <w:p w14:paraId="77DE6B83" w14:textId="77777777" w:rsidR="009019D0" w:rsidRDefault="009019D0" w:rsidP="00397CF4">
      <w:pPr>
        <w:widowControl/>
        <w:autoSpaceDE/>
        <w:autoSpaceDN/>
        <w:spacing w:line="256" w:lineRule="auto"/>
        <w:rPr>
          <w:color w:val="FF0000"/>
          <w:sz w:val="24"/>
          <w:szCs w:val="24"/>
        </w:rPr>
      </w:pPr>
    </w:p>
    <w:p w14:paraId="2ACF6BF7" w14:textId="77777777" w:rsidR="009019D0" w:rsidRDefault="009019D0" w:rsidP="00397CF4">
      <w:pPr>
        <w:widowControl/>
        <w:autoSpaceDE/>
        <w:autoSpaceDN/>
        <w:spacing w:line="256" w:lineRule="auto"/>
        <w:rPr>
          <w:rFonts w:eastAsia="Calibri"/>
          <w:kern w:val="2"/>
          <w:sz w:val="24"/>
          <w:szCs w:val="24"/>
          <w:lang w:val="pt-BR" w:eastAsia="en-US" w:bidi="ar-SA"/>
          <w14:ligatures w14:val="standardContextual"/>
        </w:rPr>
      </w:pPr>
    </w:p>
    <w:p w14:paraId="1196395C" w14:textId="7BA19ADC" w:rsidR="00397CF4" w:rsidRPr="00397CF4" w:rsidRDefault="004B5C60" w:rsidP="00397CF4">
      <w:pPr>
        <w:widowControl/>
        <w:autoSpaceDE/>
        <w:autoSpaceDN/>
        <w:spacing w:line="256" w:lineRule="auto"/>
        <w:rPr>
          <w:rFonts w:eastAsia="Calibri"/>
          <w:kern w:val="2"/>
          <w:sz w:val="24"/>
          <w:szCs w:val="24"/>
          <w:lang w:val="pt-BR" w:eastAsia="en-US" w:bidi="ar-SA"/>
          <w14:ligatures w14:val="standardContextual"/>
        </w:rPr>
      </w:pPr>
      <w:r>
        <w:rPr>
          <w:rFonts w:eastAsia="Calibri"/>
          <w:kern w:val="2"/>
          <w:sz w:val="24"/>
          <w:szCs w:val="24"/>
          <w:lang w:val="pt-BR" w:eastAsia="en-US" w:bidi="ar-SA"/>
          <w14:ligatures w14:val="standardContextual"/>
        </w:rPr>
        <w:t>Cons</w:t>
      </w:r>
      <w:r w:rsidR="00397CF4" w:rsidRPr="00397CF4">
        <w:rPr>
          <w:rFonts w:eastAsia="Calibri"/>
          <w:kern w:val="2"/>
          <w:sz w:val="24"/>
          <w:szCs w:val="24"/>
          <w:lang w:val="pt-BR" w:eastAsia="en-US" w:bidi="ar-SA"/>
          <w14:ligatures w14:val="standardContextual"/>
        </w:rPr>
        <w:t xml:space="preserve">. </w:t>
      </w:r>
      <w:r w:rsidRPr="004B5C60">
        <w:rPr>
          <w:rFonts w:eastAsia="Calibri"/>
          <w:kern w:val="2"/>
          <w:sz w:val="24"/>
          <w:szCs w:val="24"/>
          <w:lang w:val="pt-BR" w:eastAsia="en-US" w:bidi="ar-SA"/>
          <w14:ligatures w14:val="standardContextual"/>
        </w:rPr>
        <w:t xml:space="preserve">Joaquim Kennedy Nogueira Barros </w:t>
      </w:r>
      <w:r w:rsidR="00397CF4" w:rsidRPr="00397CF4">
        <w:rPr>
          <w:rFonts w:eastAsia="Calibri"/>
          <w:kern w:val="2"/>
          <w:sz w:val="24"/>
          <w:szCs w:val="24"/>
          <w:lang w:val="pt-BR" w:eastAsia="en-US" w:bidi="ar-SA"/>
          <w14:ligatures w14:val="standardContextual"/>
        </w:rPr>
        <w:t xml:space="preserve">– </w:t>
      </w:r>
      <w:r w:rsidR="00397CF4" w:rsidRPr="00397CF4">
        <w:rPr>
          <w:rFonts w:eastAsia="Calibri"/>
          <w:b/>
          <w:kern w:val="2"/>
          <w:sz w:val="24"/>
          <w:szCs w:val="24"/>
          <w:lang w:val="pt-BR" w:eastAsia="en-US" w:bidi="ar-SA"/>
          <w14:ligatures w14:val="standardContextual"/>
        </w:rPr>
        <w:t xml:space="preserve">Presidente </w:t>
      </w:r>
    </w:p>
    <w:p w14:paraId="4B234A2D"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Abelardo Pio Vilanova e Silva </w:t>
      </w:r>
    </w:p>
    <w:p w14:paraId="23E16C54" w14:textId="2109E126"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xml:space="preserve">. </w:t>
      </w:r>
      <w:r w:rsidR="004B5C60">
        <w:rPr>
          <w:rFonts w:eastAsia="Calibri"/>
          <w:kern w:val="2"/>
          <w:sz w:val="24"/>
          <w:szCs w:val="24"/>
          <w:lang w:val="pt-BR" w:eastAsia="en-US" w:bidi="ar-SA"/>
          <w14:ligatures w14:val="standardContextual"/>
        </w:rPr>
        <w:t xml:space="preserve">Kleber Dantas </w:t>
      </w:r>
      <w:proofErr w:type="spellStart"/>
      <w:r w:rsidR="004B5C60">
        <w:rPr>
          <w:rFonts w:eastAsia="Calibri"/>
          <w:kern w:val="2"/>
          <w:sz w:val="24"/>
          <w:szCs w:val="24"/>
          <w:lang w:val="pt-BR" w:eastAsia="en-US" w:bidi="ar-SA"/>
          <w14:ligatures w14:val="standardContextual"/>
        </w:rPr>
        <w:t>Eulalio</w:t>
      </w:r>
      <w:proofErr w:type="spellEnd"/>
    </w:p>
    <w:p w14:paraId="1A058D0A" w14:textId="216BDCBB"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Flora Izabel Nobre Rodrigues</w:t>
      </w:r>
    </w:p>
    <w:p w14:paraId="620066C9" w14:textId="132334C2" w:rsidR="00397CF4" w:rsidRPr="00397CF4" w:rsidRDefault="00397CF4" w:rsidP="00397CF4">
      <w:pPr>
        <w:widowControl/>
        <w:autoSpaceDE/>
        <w:autoSpaceDN/>
        <w:jc w:val="both"/>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w:t>
      </w:r>
      <w:r w:rsidR="004B5C60">
        <w:rPr>
          <w:rFonts w:eastAsia="Calibri"/>
          <w:kern w:val="2"/>
          <w:sz w:val="24"/>
          <w:szCs w:val="24"/>
          <w:lang w:val="pt-BR" w:eastAsia="en-US" w:bidi="ar-SA"/>
          <w14:ligatures w14:val="standardContextual"/>
        </w:rPr>
        <w:t>ª</w:t>
      </w:r>
      <w:proofErr w:type="spellEnd"/>
      <w:r w:rsidRPr="00397CF4">
        <w:rPr>
          <w:rFonts w:eastAsia="Calibri"/>
          <w:kern w:val="2"/>
          <w:sz w:val="24"/>
          <w:szCs w:val="24"/>
          <w:lang w:val="pt-BR" w:eastAsia="en-US" w:bidi="ar-SA"/>
          <w14:ligatures w14:val="standardContextual"/>
        </w:rPr>
        <w:t xml:space="preserve">. </w:t>
      </w:r>
      <w:r w:rsidR="004B5C60" w:rsidRPr="004B5C60">
        <w:rPr>
          <w:rFonts w:eastAsia="Calibri"/>
          <w:kern w:val="2"/>
          <w:sz w:val="24"/>
          <w:szCs w:val="24"/>
          <w:lang w:val="pt-BR" w:eastAsia="en-US" w:bidi="ar-SA"/>
          <w14:ligatures w14:val="standardContextual"/>
        </w:rPr>
        <w:t>Rejane Ribeiro Sousa Dias</w:t>
      </w:r>
    </w:p>
    <w:p w14:paraId="44742907" w14:textId="77777777" w:rsidR="00397CF4" w:rsidRPr="00397CF4" w:rsidRDefault="00397CF4" w:rsidP="00397CF4">
      <w:pPr>
        <w:widowControl/>
        <w:autoSpaceDE/>
        <w:autoSpaceDN/>
        <w:jc w:val="both"/>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Delano Carneiro da Cunha </w:t>
      </w:r>
      <w:proofErr w:type="gramStart"/>
      <w:r w:rsidRPr="00397CF4">
        <w:rPr>
          <w:rFonts w:eastAsia="Calibri"/>
          <w:kern w:val="2"/>
          <w:sz w:val="24"/>
          <w:szCs w:val="24"/>
          <w:lang w:val="pt-BR" w:eastAsia="en-US" w:bidi="ar-SA"/>
          <w14:ligatures w14:val="standardContextual"/>
        </w:rPr>
        <w:t>Câmara</w:t>
      </w:r>
      <w:proofErr w:type="gramEnd"/>
    </w:p>
    <w:p w14:paraId="3756BC9F" w14:textId="74AA2E1A"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w:t>
      </w:r>
      <w:r w:rsidR="004B5C60" w:rsidRPr="004B5C60">
        <w:rPr>
          <w:rFonts w:eastAsia="Calibri"/>
          <w:kern w:val="2"/>
          <w:sz w:val="24"/>
          <w:szCs w:val="24"/>
          <w:lang w:val="pt-BR" w:eastAsia="en-US" w:bidi="ar-SA"/>
          <w14:ligatures w14:val="standardContextual"/>
        </w:rPr>
        <w:t xml:space="preserve">Alisson Felipe de </w:t>
      </w:r>
      <w:proofErr w:type="gramStart"/>
      <w:r w:rsidR="004B5C60" w:rsidRPr="004B5C60">
        <w:rPr>
          <w:rFonts w:eastAsia="Calibri"/>
          <w:kern w:val="2"/>
          <w:sz w:val="24"/>
          <w:szCs w:val="24"/>
          <w:lang w:val="pt-BR" w:eastAsia="en-US" w:bidi="ar-SA"/>
          <w14:ligatures w14:val="standardContextual"/>
        </w:rPr>
        <w:t>Araújo</w:t>
      </w:r>
      <w:proofErr w:type="gramEnd"/>
    </w:p>
    <w:p w14:paraId="158EF9C1"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Proc. Márcio André Madeira de Vasconcelos – </w:t>
      </w:r>
      <w:r w:rsidRPr="00397CF4">
        <w:rPr>
          <w:rFonts w:eastAsia="Calibri"/>
          <w:b/>
          <w:kern w:val="2"/>
          <w:sz w:val="24"/>
          <w:szCs w:val="24"/>
          <w:lang w:val="pt-BR" w:eastAsia="en-US" w:bidi="ar-SA"/>
          <w14:ligatures w14:val="standardContextual"/>
        </w:rPr>
        <w:t>Procurador-Geral do Ministério Público de Contas</w:t>
      </w:r>
    </w:p>
    <w:p w14:paraId="2482CC6F" w14:textId="77777777" w:rsidR="00B62DA3" w:rsidRDefault="00B62DA3" w:rsidP="00F72D65">
      <w:pPr>
        <w:widowControl/>
        <w:adjustRightInd w:val="0"/>
        <w:spacing w:line="300" w:lineRule="auto"/>
        <w:jc w:val="both"/>
        <w:outlineLvl w:val="0"/>
        <w:rPr>
          <w:bCs/>
          <w:sz w:val="24"/>
          <w:szCs w:val="24"/>
          <w:lang w:val="pt-BR" w:eastAsia="pt-BR" w:bidi="ar-SA"/>
        </w:rPr>
      </w:pPr>
    </w:p>
    <w:p w14:paraId="252149D7" w14:textId="77777777" w:rsidR="00F72D65" w:rsidRDefault="00F72D65" w:rsidP="00F72D65">
      <w:pPr>
        <w:widowControl/>
        <w:adjustRightInd w:val="0"/>
        <w:spacing w:line="300" w:lineRule="auto"/>
        <w:jc w:val="both"/>
        <w:outlineLvl w:val="0"/>
        <w:rPr>
          <w:bCs/>
          <w:sz w:val="24"/>
          <w:szCs w:val="24"/>
          <w:lang w:val="pt-BR" w:eastAsia="pt-BR" w:bidi="ar-SA"/>
        </w:rPr>
      </w:pPr>
    </w:p>
    <w:p w14:paraId="091A9633" w14:textId="0A161DEA" w:rsidR="00F72D65" w:rsidRPr="00F72D65" w:rsidRDefault="00F72D65" w:rsidP="00F72D65">
      <w:pPr>
        <w:widowControl/>
        <w:adjustRightInd w:val="0"/>
        <w:spacing w:line="300" w:lineRule="auto"/>
        <w:jc w:val="both"/>
        <w:outlineLvl w:val="0"/>
        <w:rPr>
          <w:bCs/>
          <w:color w:val="FF0000"/>
          <w:sz w:val="24"/>
          <w:szCs w:val="24"/>
          <w:lang w:val="pt-BR" w:eastAsia="pt-BR" w:bidi="ar-SA"/>
        </w:rPr>
      </w:pPr>
      <w:r w:rsidRPr="00F72D65">
        <w:rPr>
          <w:bCs/>
          <w:color w:val="FF0000"/>
          <w:sz w:val="24"/>
          <w:szCs w:val="24"/>
          <w:lang w:val="pt-BR" w:eastAsia="pt-BR" w:bidi="ar-SA"/>
        </w:rPr>
        <w:t>Este texto não substitui o publicad</w:t>
      </w:r>
      <w:r w:rsidR="0006739B">
        <w:rPr>
          <w:bCs/>
          <w:color w:val="FF0000"/>
          <w:sz w:val="24"/>
          <w:szCs w:val="24"/>
          <w:lang w:val="pt-BR" w:eastAsia="pt-BR" w:bidi="ar-SA"/>
        </w:rPr>
        <w:t>o no DO</w:t>
      </w:r>
      <w:r w:rsidR="00D90558">
        <w:rPr>
          <w:bCs/>
          <w:color w:val="FF0000"/>
          <w:sz w:val="24"/>
          <w:szCs w:val="24"/>
          <w:lang w:val="pt-BR" w:eastAsia="pt-BR" w:bidi="ar-SA"/>
        </w:rPr>
        <w:t xml:space="preserve"> TCE/PI de 27.05.2024, republicada em 29.05.2024.</w:t>
      </w:r>
      <w:bookmarkStart w:id="0" w:name="_GoBack"/>
      <w:bookmarkEnd w:id="0"/>
    </w:p>
    <w:sectPr w:rsidR="00F72D65" w:rsidRPr="00F72D65" w:rsidSect="00AE29BE">
      <w:headerReference w:type="default" r:id="rId8"/>
      <w:pgSz w:w="11910" w:h="16840"/>
      <w:pgMar w:top="2180" w:right="1020" w:bottom="1276" w:left="1300"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95306" w14:textId="77777777" w:rsidR="00191B3C" w:rsidRDefault="00191B3C">
      <w:r>
        <w:separator/>
      </w:r>
    </w:p>
  </w:endnote>
  <w:endnote w:type="continuationSeparator" w:id="0">
    <w:p w14:paraId="04745226" w14:textId="77777777" w:rsidR="00191B3C" w:rsidRDefault="00191B3C">
      <w:r>
        <w:continuationSeparator/>
      </w:r>
    </w:p>
  </w:endnote>
  <w:endnote w:type="continuationNotice" w:id="1">
    <w:p w14:paraId="3943D319" w14:textId="77777777" w:rsidR="00191B3C" w:rsidRDefault="00191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068F" w14:textId="77777777" w:rsidR="00191B3C" w:rsidRDefault="00191B3C">
      <w:r>
        <w:separator/>
      </w:r>
    </w:p>
  </w:footnote>
  <w:footnote w:type="continuationSeparator" w:id="0">
    <w:p w14:paraId="73936B56" w14:textId="77777777" w:rsidR="00191B3C" w:rsidRDefault="00191B3C">
      <w:r>
        <w:continuationSeparator/>
      </w:r>
    </w:p>
  </w:footnote>
  <w:footnote w:type="continuationNotice" w:id="1">
    <w:p w14:paraId="35EC960A" w14:textId="77777777" w:rsidR="00191B3C" w:rsidRDefault="00191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3648" w14:textId="77777777" w:rsidR="00C71BB0" w:rsidRDefault="00C71BB0">
    <w:pPr>
      <w:pStyle w:val="Corpodetexto"/>
      <w:spacing w:line="14" w:lineRule="auto"/>
      <w:rPr>
        <w:sz w:val="20"/>
      </w:rPr>
    </w:pPr>
    <w:r w:rsidRPr="00C71BB0">
      <w:rPr>
        <w:noProof/>
        <w:sz w:val="20"/>
        <w:lang w:val="pt-BR" w:eastAsia="pt-BR" w:bidi="ar-SA"/>
      </w:rPr>
      <mc:AlternateContent>
        <mc:Choice Requires="wps">
          <w:drawing>
            <wp:anchor distT="0" distB="0" distL="114300" distR="114300" simplePos="0" relativeHeight="251658240" behindDoc="0" locked="0" layoutInCell="1" allowOverlap="1" wp14:anchorId="5AB43649" wp14:editId="5AB4364A">
              <wp:simplePos x="0" y="0"/>
              <wp:positionH relativeFrom="column">
                <wp:posOffset>5071192</wp:posOffset>
              </wp:positionH>
              <wp:positionV relativeFrom="paragraph">
                <wp:posOffset>-318770</wp:posOffset>
              </wp:positionV>
              <wp:extent cx="943739" cy="899731"/>
              <wp:effectExtent l="133350" t="133350" r="161290" b="148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9" cy="899731"/>
                      </a:xfrm>
                      <a:prstGeom prst="rect">
                        <a:avLst/>
                      </a:prstGeom>
                      <a:solidFill>
                        <a:schemeClr val="bg1"/>
                      </a:solidFill>
                      <a:ln w="9525">
                        <a:solidFill>
                          <a:schemeClr val="bg1"/>
                        </a:solidFill>
                        <a:miter lim="800000"/>
                        <a:headEnd/>
                        <a:tailEnd/>
                      </a:ln>
                      <a:effectLst>
                        <a:glow rad="127000">
                          <a:schemeClr val="bg1"/>
                        </a:glow>
                      </a:effectLst>
                    </wps:spPr>
                    <wps:txbx>
                      <w:txbxContent>
                        <w:p w14:paraId="5AB4364D" w14:textId="77777777" w:rsidR="00C71BB0" w:rsidRDefault="00C71BB0">
                          <w:r>
                            <w:rPr>
                              <w:noProof/>
                              <w:lang w:val="pt-BR" w:eastAsia="pt-BR" w:bidi="ar-SA"/>
                            </w:rPr>
                            <w:drawing>
                              <wp:inline distT="0" distB="0" distL="0" distR="0" wp14:anchorId="5AB4364E" wp14:editId="5AB4364F">
                                <wp:extent cx="751840" cy="81545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1840" cy="8154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399.3pt;margin-top:-25.1pt;width:74.3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" fillcolor="white [3212]" strokecolor="white [3212]">
              <v:textbox>
                <w:txbxContent>
                  <w:p w14:paraId="5AB4364D" w14:textId="77777777" w:rsidR="00C71BB0" w:rsidRDefault="00C71BB0">
                    <w:r>
                      <w:rPr>
                        <w:noProof/>
                        <w:lang w:val="pt-BR" w:eastAsia="pt-BR" w:bidi="ar-SA"/>
                      </w:rPr>
                      <w:drawing>
                        <wp:inline distT="0" distB="0" distL="0" distR="0" wp14:anchorId="5AB4364E" wp14:editId="5AB4364F">
                          <wp:extent cx="751840" cy="81545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1840" cy="815457"/>
                                  </a:xfrm>
                                  <a:prstGeom prst="rect">
                                    <a:avLst/>
                                  </a:prstGeom>
                                </pic:spPr>
                              </pic:pic>
                            </a:graphicData>
                          </a:graphic>
                        </wp:inline>
                      </w:drawing>
                    </w:r>
                  </w:p>
                </w:txbxContent>
              </v:textbox>
            </v:shape>
          </w:pict>
        </mc:Fallback>
      </mc:AlternateContent>
    </w:r>
    <w:r w:rsidRPr="00C71BB0">
      <w:rPr>
        <w:noProof/>
        <w:sz w:val="20"/>
        <w:lang w:val="pt-BR" w:eastAsia="pt-BR" w:bidi="ar-SA"/>
      </w:rPr>
      <w:drawing>
        <wp:inline distT="0" distB="0" distL="0" distR="0" wp14:anchorId="5AB4364B" wp14:editId="5AB4364C">
          <wp:extent cx="2474259" cy="66071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478315" cy="6617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05EC"/>
    <w:multiLevelType w:val="hybridMultilevel"/>
    <w:tmpl w:val="70388C46"/>
    <w:lvl w:ilvl="0" w:tplc="E3B2A52C">
      <w:start w:val="1"/>
      <w:numFmt w:val="decimal"/>
      <w:lvlText w:val="%1."/>
      <w:lvlJc w:val="left"/>
      <w:pPr>
        <w:ind w:left="118" w:hanging="279"/>
      </w:pPr>
      <w:rPr>
        <w:rFonts w:ascii="Arial" w:eastAsia="Arial" w:hAnsi="Arial" w:cs="Arial" w:hint="default"/>
        <w:w w:val="99"/>
        <w:sz w:val="24"/>
        <w:szCs w:val="24"/>
        <w:lang w:val="pt-PT" w:eastAsia="pt-PT" w:bidi="pt-PT"/>
      </w:rPr>
    </w:lvl>
    <w:lvl w:ilvl="1" w:tplc="03AA149E">
      <w:numFmt w:val="bullet"/>
      <w:lvlText w:val="•"/>
      <w:lvlJc w:val="left"/>
      <w:pPr>
        <w:ind w:left="1066" w:hanging="279"/>
      </w:pPr>
      <w:rPr>
        <w:rFonts w:hint="default"/>
        <w:lang w:val="pt-PT" w:eastAsia="pt-PT" w:bidi="pt-PT"/>
      </w:rPr>
    </w:lvl>
    <w:lvl w:ilvl="2" w:tplc="66ECD9D0">
      <w:numFmt w:val="bullet"/>
      <w:lvlText w:val="•"/>
      <w:lvlJc w:val="left"/>
      <w:pPr>
        <w:ind w:left="2013" w:hanging="279"/>
      </w:pPr>
      <w:rPr>
        <w:rFonts w:hint="default"/>
        <w:lang w:val="pt-PT" w:eastAsia="pt-PT" w:bidi="pt-PT"/>
      </w:rPr>
    </w:lvl>
    <w:lvl w:ilvl="3" w:tplc="9B6CFF8C">
      <w:numFmt w:val="bullet"/>
      <w:lvlText w:val="•"/>
      <w:lvlJc w:val="left"/>
      <w:pPr>
        <w:ind w:left="2959" w:hanging="279"/>
      </w:pPr>
      <w:rPr>
        <w:rFonts w:hint="default"/>
        <w:lang w:val="pt-PT" w:eastAsia="pt-PT" w:bidi="pt-PT"/>
      </w:rPr>
    </w:lvl>
    <w:lvl w:ilvl="4" w:tplc="263896E4">
      <w:numFmt w:val="bullet"/>
      <w:lvlText w:val="•"/>
      <w:lvlJc w:val="left"/>
      <w:pPr>
        <w:ind w:left="3906" w:hanging="279"/>
      </w:pPr>
      <w:rPr>
        <w:rFonts w:hint="default"/>
        <w:lang w:val="pt-PT" w:eastAsia="pt-PT" w:bidi="pt-PT"/>
      </w:rPr>
    </w:lvl>
    <w:lvl w:ilvl="5" w:tplc="3A22AEA0">
      <w:numFmt w:val="bullet"/>
      <w:lvlText w:val="•"/>
      <w:lvlJc w:val="left"/>
      <w:pPr>
        <w:ind w:left="4853" w:hanging="279"/>
      </w:pPr>
      <w:rPr>
        <w:rFonts w:hint="default"/>
        <w:lang w:val="pt-PT" w:eastAsia="pt-PT" w:bidi="pt-PT"/>
      </w:rPr>
    </w:lvl>
    <w:lvl w:ilvl="6" w:tplc="9CB0A7F4">
      <w:numFmt w:val="bullet"/>
      <w:lvlText w:val="•"/>
      <w:lvlJc w:val="left"/>
      <w:pPr>
        <w:ind w:left="5799" w:hanging="279"/>
      </w:pPr>
      <w:rPr>
        <w:rFonts w:hint="default"/>
        <w:lang w:val="pt-PT" w:eastAsia="pt-PT" w:bidi="pt-PT"/>
      </w:rPr>
    </w:lvl>
    <w:lvl w:ilvl="7" w:tplc="D412761C">
      <w:numFmt w:val="bullet"/>
      <w:lvlText w:val="•"/>
      <w:lvlJc w:val="left"/>
      <w:pPr>
        <w:ind w:left="6746" w:hanging="279"/>
      </w:pPr>
      <w:rPr>
        <w:rFonts w:hint="default"/>
        <w:lang w:val="pt-PT" w:eastAsia="pt-PT" w:bidi="pt-PT"/>
      </w:rPr>
    </w:lvl>
    <w:lvl w:ilvl="8" w:tplc="813697EA">
      <w:numFmt w:val="bullet"/>
      <w:lvlText w:val="•"/>
      <w:lvlJc w:val="left"/>
      <w:pPr>
        <w:ind w:left="7693" w:hanging="279"/>
      </w:pPr>
      <w:rPr>
        <w:rFonts w:hint="default"/>
        <w:lang w:val="pt-PT" w:eastAsia="pt-PT" w:bidi="pt-PT"/>
      </w:rPr>
    </w:lvl>
  </w:abstractNum>
  <w:abstractNum w:abstractNumId="1">
    <w:nsid w:val="612510D0"/>
    <w:multiLevelType w:val="hybridMultilevel"/>
    <w:tmpl w:val="70388C46"/>
    <w:lvl w:ilvl="0" w:tplc="E3B2A52C">
      <w:start w:val="1"/>
      <w:numFmt w:val="decimal"/>
      <w:lvlText w:val="%1."/>
      <w:lvlJc w:val="left"/>
      <w:pPr>
        <w:ind w:left="118" w:hanging="279"/>
      </w:pPr>
      <w:rPr>
        <w:rFonts w:ascii="Arial" w:eastAsia="Arial" w:hAnsi="Arial" w:cs="Arial" w:hint="default"/>
        <w:w w:val="99"/>
        <w:sz w:val="24"/>
        <w:szCs w:val="24"/>
        <w:lang w:val="pt-PT" w:eastAsia="pt-PT" w:bidi="pt-PT"/>
      </w:rPr>
    </w:lvl>
    <w:lvl w:ilvl="1" w:tplc="03AA149E">
      <w:numFmt w:val="bullet"/>
      <w:lvlText w:val="•"/>
      <w:lvlJc w:val="left"/>
      <w:pPr>
        <w:ind w:left="1066" w:hanging="279"/>
      </w:pPr>
      <w:rPr>
        <w:rFonts w:hint="default"/>
        <w:lang w:val="pt-PT" w:eastAsia="pt-PT" w:bidi="pt-PT"/>
      </w:rPr>
    </w:lvl>
    <w:lvl w:ilvl="2" w:tplc="66ECD9D0">
      <w:numFmt w:val="bullet"/>
      <w:lvlText w:val="•"/>
      <w:lvlJc w:val="left"/>
      <w:pPr>
        <w:ind w:left="2013" w:hanging="279"/>
      </w:pPr>
      <w:rPr>
        <w:rFonts w:hint="default"/>
        <w:lang w:val="pt-PT" w:eastAsia="pt-PT" w:bidi="pt-PT"/>
      </w:rPr>
    </w:lvl>
    <w:lvl w:ilvl="3" w:tplc="9B6CFF8C">
      <w:numFmt w:val="bullet"/>
      <w:lvlText w:val="•"/>
      <w:lvlJc w:val="left"/>
      <w:pPr>
        <w:ind w:left="2959" w:hanging="279"/>
      </w:pPr>
      <w:rPr>
        <w:rFonts w:hint="default"/>
        <w:lang w:val="pt-PT" w:eastAsia="pt-PT" w:bidi="pt-PT"/>
      </w:rPr>
    </w:lvl>
    <w:lvl w:ilvl="4" w:tplc="263896E4">
      <w:numFmt w:val="bullet"/>
      <w:lvlText w:val="•"/>
      <w:lvlJc w:val="left"/>
      <w:pPr>
        <w:ind w:left="3906" w:hanging="279"/>
      </w:pPr>
      <w:rPr>
        <w:rFonts w:hint="default"/>
        <w:lang w:val="pt-PT" w:eastAsia="pt-PT" w:bidi="pt-PT"/>
      </w:rPr>
    </w:lvl>
    <w:lvl w:ilvl="5" w:tplc="3A22AEA0">
      <w:numFmt w:val="bullet"/>
      <w:lvlText w:val="•"/>
      <w:lvlJc w:val="left"/>
      <w:pPr>
        <w:ind w:left="4853" w:hanging="279"/>
      </w:pPr>
      <w:rPr>
        <w:rFonts w:hint="default"/>
        <w:lang w:val="pt-PT" w:eastAsia="pt-PT" w:bidi="pt-PT"/>
      </w:rPr>
    </w:lvl>
    <w:lvl w:ilvl="6" w:tplc="9CB0A7F4">
      <w:numFmt w:val="bullet"/>
      <w:lvlText w:val="•"/>
      <w:lvlJc w:val="left"/>
      <w:pPr>
        <w:ind w:left="5799" w:hanging="279"/>
      </w:pPr>
      <w:rPr>
        <w:rFonts w:hint="default"/>
        <w:lang w:val="pt-PT" w:eastAsia="pt-PT" w:bidi="pt-PT"/>
      </w:rPr>
    </w:lvl>
    <w:lvl w:ilvl="7" w:tplc="D412761C">
      <w:numFmt w:val="bullet"/>
      <w:lvlText w:val="•"/>
      <w:lvlJc w:val="left"/>
      <w:pPr>
        <w:ind w:left="6746" w:hanging="279"/>
      </w:pPr>
      <w:rPr>
        <w:rFonts w:hint="default"/>
        <w:lang w:val="pt-PT" w:eastAsia="pt-PT" w:bidi="pt-PT"/>
      </w:rPr>
    </w:lvl>
    <w:lvl w:ilvl="8" w:tplc="813697EA">
      <w:numFmt w:val="bullet"/>
      <w:lvlText w:val="•"/>
      <w:lvlJc w:val="left"/>
      <w:pPr>
        <w:ind w:left="7693" w:hanging="279"/>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59"/>
    <w:rsid w:val="00007FD9"/>
    <w:rsid w:val="00015142"/>
    <w:rsid w:val="00037658"/>
    <w:rsid w:val="0006159B"/>
    <w:rsid w:val="000617B0"/>
    <w:rsid w:val="000623E5"/>
    <w:rsid w:val="0006739B"/>
    <w:rsid w:val="00072516"/>
    <w:rsid w:val="00077D37"/>
    <w:rsid w:val="00096A20"/>
    <w:rsid w:val="000C3290"/>
    <w:rsid w:val="000C3A92"/>
    <w:rsid w:val="00150864"/>
    <w:rsid w:val="001806C1"/>
    <w:rsid w:val="00191B3C"/>
    <w:rsid w:val="001A6776"/>
    <w:rsid w:val="001D08F9"/>
    <w:rsid w:val="001D2D9D"/>
    <w:rsid w:val="002209E5"/>
    <w:rsid w:val="00231D7A"/>
    <w:rsid w:val="002373B4"/>
    <w:rsid w:val="00277B39"/>
    <w:rsid w:val="002A5F57"/>
    <w:rsid w:val="002D06D1"/>
    <w:rsid w:val="002D39AF"/>
    <w:rsid w:val="002E5F08"/>
    <w:rsid w:val="002F2C67"/>
    <w:rsid w:val="00314CF5"/>
    <w:rsid w:val="00317E29"/>
    <w:rsid w:val="0036192D"/>
    <w:rsid w:val="00372A36"/>
    <w:rsid w:val="0037705E"/>
    <w:rsid w:val="00397CF4"/>
    <w:rsid w:val="003C28E4"/>
    <w:rsid w:val="003E2A4C"/>
    <w:rsid w:val="003E5D28"/>
    <w:rsid w:val="003F2481"/>
    <w:rsid w:val="003F43CA"/>
    <w:rsid w:val="003F7980"/>
    <w:rsid w:val="00420F28"/>
    <w:rsid w:val="00446729"/>
    <w:rsid w:val="004715F4"/>
    <w:rsid w:val="004B5C60"/>
    <w:rsid w:val="004E3851"/>
    <w:rsid w:val="004F2A18"/>
    <w:rsid w:val="00527DF9"/>
    <w:rsid w:val="0053405E"/>
    <w:rsid w:val="005341CF"/>
    <w:rsid w:val="005422AD"/>
    <w:rsid w:val="005429D9"/>
    <w:rsid w:val="005842D2"/>
    <w:rsid w:val="00591B59"/>
    <w:rsid w:val="005A523D"/>
    <w:rsid w:val="005C7257"/>
    <w:rsid w:val="00605FFA"/>
    <w:rsid w:val="00642185"/>
    <w:rsid w:val="00660529"/>
    <w:rsid w:val="0068108B"/>
    <w:rsid w:val="00682188"/>
    <w:rsid w:val="006C0B0B"/>
    <w:rsid w:val="006D107F"/>
    <w:rsid w:val="006F6DB6"/>
    <w:rsid w:val="007216DE"/>
    <w:rsid w:val="0072690B"/>
    <w:rsid w:val="00745C82"/>
    <w:rsid w:val="00750C55"/>
    <w:rsid w:val="007716C5"/>
    <w:rsid w:val="007C6B5E"/>
    <w:rsid w:val="007D7C03"/>
    <w:rsid w:val="007E15B4"/>
    <w:rsid w:val="00825158"/>
    <w:rsid w:val="008677A6"/>
    <w:rsid w:val="008B5393"/>
    <w:rsid w:val="008C10FE"/>
    <w:rsid w:val="008F7F0F"/>
    <w:rsid w:val="009019D0"/>
    <w:rsid w:val="00907D45"/>
    <w:rsid w:val="00910380"/>
    <w:rsid w:val="00932A9B"/>
    <w:rsid w:val="0096018E"/>
    <w:rsid w:val="009651C8"/>
    <w:rsid w:val="00982A3F"/>
    <w:rsid w:val="009A0FED"/>
    <w:rsid w:val="009B4B9A"/>
    <w:rsid w:val="009E00D5"/>
    <w:rsid w:val="009E4047"/>
    <w:rsid w:val="009F0ED8"/>
    <w:rsid w:val="00A0560B"/>
    <w:rsid w:val="00A12D4C"/>
    <w:rsid w:val="00A45B56"/>
    <w:rsid w:val="00A4644B"/>
    <w:rsid w:val="00A50211"/>
    <w:rsid w:val="00A63CB2"/>
    <w:rsid w:val="00A86EDF"/>
    <w:rsid w:val="00AA4954"/>
    <w:rsid w:val="00AB723E"/>
    <w:rsid w:val="00AD50D8"/>
    <w:rsid w:val="00AD576E"/>
    <w:rsid w:val="00AE0D27"/>
    <w:rsid w:val="00AE29BE"/>
    <w:rsid w:val="00AF53C2"/>
    <w:rsid w:val="00B04297"/>
    <w:rsid w:val="00B13A88"/>
    <w:rsid w:val="00B27907"/>
    <w:rsid w:val="00B62DA3"/>
    <w:rsid w:val="00B644C7"/>
    <w:rsid w:val="00B71B28"/>
    <w:rsid w:val="00B97B5C"/>
    <w:rsid w:val="00BC2779"/>
    <w:rsid w:val="00BC3223"/>
    <w:rsid w:val="00BC7413"/>
    <w:rsid w:val="00BD573E"/>
    <w:rsid w:val="00BE007F"/>
    <w:rsid w:val="00BE2016"/>
    <w:rsid w:val="00C202EC"/>
    <w:rsid w:val="00C232DD"/>
    <w:rsid w:val="00C25469"/>
    <w:rsid w:val="00C51ED7"/>
    <w:rsid w:val="00C57F52"/>
    <w:rsid w:val="00C66802"/>
    <w:rsid w:val="00C71369"/>
    <w:rsid w:val="00C71BB0"/>
    <w:rsid w:val="00C810F5"/>
    <w:rsid w:val="00CC1F21"/>
    <w:rsid w:val="00D0019F"/>
    <w:rsid w:val="00D03D31"/>
    <w:rsid w:val="00D20928"/>
    <w:rsid w:val="00D263B8"/>
    <w:rsid w:val="00D33D47"/>
    <w:rsid w:val="00D44532"/>
    <w:rsid w:val="00D54111"/>
    <w:rsid w:val="00D66CCF"/>
    <w:rsid w:val="00D90558"/>
    <w:rsid w:val="00DA75FA"/>
    <w:rsid w:val="00DB41D0"/>
    <w:rsid w:val="00DC2F9F"/>
    <w:rsid w:val="00E30903"/>
    <w:rsid w:val="00E3090E"/>
    <w:rsid w:val="00E41B46"/>
    <w:rsid w:val="00E57477"/>
    <w:rsid w:val="00E874D8"/>
    <w:rsid w:val="00EC5BE5"/>
    <w:rsid w:val="00EE614C"/>
    <w:rsid w:val="00EF7CB1"/>
    <w:rsid w:val="00F15F59"/>
    <w:rsid w:val="00F16851"/>
    <w:rsid w:val="00F31756"/>
    <w:rsid w:val="00F55D5F"/>
    <w:rsid w:val="00F634C7"/>
    <w:rsid w:val="00F72D65"/>
    <w:rsid w:val="00F91B47"/>
    <w:rsid w:val="00FA0094"/>
    <w:rsid w:val="00FA1E9B"/>
    <w:rsid w:val="00FB3424"/>
    <w:rsid w:val="00FC0C33"/>
    <w:rsid w:val="00FD1678"/>
    <w:rsid w:val="00FD2BE5"/>
    <w:rsid w:val="021B549F"/>
    <w:rsid w:val="06C8AFB3"/>
    <w:rsid w:val="0CA03797"/>
    <w:rsid w:val="1AD5D396"/>
    <w:rsid w:val="1C87A89C"/>
    <w:rsid w:val="1D554A89"/>
    <w:rsid w:val="1E34FAB7"/>
    <w:rsid w:val="1FC76364"/>
    <w:rsid w:val="38F45FB3"/>
    <w:rsid w:val="3BA2B8C4"/>
    <w:rsid w:val="40B6989C"/>
    <w:rsid w:val="41C4D05E"/>
    <w:rsid w:val="4FEA33F6"/>
    <w:rsid w:val="5618218F"/>
    <w:rsid w:val="6052D5C6"/>
    <w:rsid w:val="6499F9F7"/>
    <w:rsid w:val="7A91F03D"/>
    <w:rsid w:val="7C028E6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righ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0019F"/>
    <w:rPr>
      <w:color w:val="0000FF" w:themeColor="hyperlink"/>
      <w:u w:val="single"/>
    </w:rPr>
  </w:style>
  <w:style w:type="paragraph" w:styleId="Cabealho">
    <w:name w:val="header"/>
    <w:basedOn w:val="Normal"/>
    <w:link w:val="CabealhoChar"/>
    <w:uiPriority w:val="99"/>
    <w:unhideWhenUsed/>
    <w:rsid w:val="00C71BB0"/>
    <w:pPr>
      <w:tabs>
        <w:tab w:val="center" w:pos="4252"/>
        <w:tab w:val="right" w:pos="8504"/>
      </w:tabs>
    </w:pPr>
  </w:style>
  <w:style w:type="character" w:customStyle="1" w:styleId="CabealhoChar">
    <w:name w:val="Cabeçalho Char"/>
    <w:basedOn w:val="Fontepargpadro"/>
    <w:link w:val="Cabealho"/>
    <w:uiPriority w:val="99"/>
    <w:rsid w:val="00C71BB0"/>
    <w:rPr>
      <w:rFonts w:ascii="Arial" w:eastAsia="Arial" w:hAnsi="Arial" w:cs="Arial"/>
      <w:lang w:val="pt-PT" w:eastAsia="pt-PT" w:bidi="pt-PT"/>
    </w:rPr>
  </w:style>
  <w:style w:type="paragraph" w:styleId="Rodap">
    <w:name w:val="footer"/>
    <w:basedOn w:val="Normal"/>
    <w:link w:val="RodapChar"/>
    <w:uiPriority w:val="99"/>
    <w:unhideWhenUsed/>
    <w:rsid w:val="00C71BB0"/>
    <w:pPr>
      <w:tabs>
        <w:tab w:val="center" w:pos="4252"/>
        <w:tab w:val="right" w:pos="8504"/>
      </w:tabs>
    </w:pPr>
  </w:style>
  <w:style w:type="character" w:customStyle="1" w:styleId="RodapChar">
    <w:name w:val="Rodapé Char"/>
    <w:basedOn w:val="Fontepargpadro"/>
    <w:link w:val="Rodap"/>
    <w:uiPriority w:val="99"/>
    <w:rsid w:val="00C71BB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C71BB0"/>
    <w:rPr>
      <w:rFonts w:ascii="Tahoma" w:hAnsi="Tahoma" w:cs="Tahoma"/>
      <w:sz w:val="16"/>
      <w:szCs w:val="16"/>
    </w:rPr>
  </w:style>
  <w:style w:type="character" w:customStyle="1" w:styleId="TextodebaloChar">
    <w:name w:val="Texto de balão Char"/>
    <w:basedOn w:val="Fontepargpadro"/>
    <w:link w:val="Textodebalo"/>
    <w:uiPriority w:val="99"/>
    <w:semiHidden/>
    <w:rsid w:val="00C71BB0"/>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righ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0019F"/>
    <w:rPr>
      <w:color w:val="0000FF" w:themeColor="hyperlink"/>
      <w:u w:val="single"/>
    </w:rPr>
  </w:style>
  <w:style w:type="paragraph" w:styleId="Cabealho">
    <w:name w:val="header"/>
    <w:basedOn w:val="Normal"/>
    <w:link w:val="CabealhoChar"/>
    <w:uiPriority w:val="99"/>
    <w:unhideWhenUsed/>
    <w:rsid w:val="00C71BB0"/>
    <w:pPr>
      <w:tabs>
        <w:tab w:val="center" w:pos="4252"/>
        <w:tab w:val="right" w:pos="8504"/>
      </w:tabs>
    </w:pPr>
  </w:style>
  <w:style w:type="character" w:customStyle="1" w:styleId="CabealhoChar">
    <w:name w:val="Cabeçalho Char"/>
    <w:basedOn w:val="Fontepargpadro"/>
    <w:link w:val="Cabealho"/>
    <w:uiPriority w:val="99"/>
    <w:rsid w:val="00C71BB0"/>
    <w:rPr>
      <w:rFonts w:ascii="Arial" w:eastAsia="Arial" w:hAnsi="Arial" w:cs="Arial"/>
      <w:lang w:val="pt-PT" w:eastAsia="pt-PT" w:bidi="pt-PT"/>
    </w:rPr>
  </w:style>
  <w:style w:type="paragraph" w:styleId="Rodap">
    <w:name w:val="footer"/>
    <w:basedOn w:val="Normal"/>
    <w:link w:val="RodapChar"/>
    <w:uiPriority w:val="99"/>
    <w:unhideWhenUsed/>
    <w:rsid w:val="00C71BB0"/>
    <w:pPr>
      <w:tabs>
        <w:tab w:val="center" w:pos="4252"/>
        <w:tab w:val="right" w:pos="8504"/>
      </w:tabs>
    </w:pPr>
  </w:style>
  <w:style w:type="character" w:customStyle="1" w:styleId="RodapChar">
    <w:name w:val="Rodapé Char"/>
    <w:basedOn w:val="Fontepargpadro"/>
    <w:link w:val="Rodap"/>
    <w:uiPriority w:val="99"/>
    <w:rsid w:val="00C71BB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C71BB0"/>
    <w:rPr>
      <w:rFonts w:ascii="Tahoma" w:hAnsi="Tahoma" w:cs="Tahoma"/>
      <w:sz w:val="16"/>
      <w:szCs w:val="16"/>
    </w:rPr>
  </w:style>
  <w:style w:type="character" w:customStyle="1" w:styleId="TextodebaloChar">
    <w:name w:val="Texto de balão Char"/>
    <w:basedOn w:val="Fontepargpadro"/>
    <w:link w:val="Textodebalo"/>
    <w:uiPriority w:val="99"/>
    <w:semiHidden/>
    <w:rsid w:val="00C71BB0"/>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5098">
      <w:bodyDiv w:val="1"/>
      <w:marLeft w:val="0"/>
      <w:marRight w:val="0"/>
      <w:marTop w:val="0"/>
      <w:marBottom w:val="0"/>
      <w:divBdr>
        <w:top w:val="none" w:sz="0" w:space="0" w:color="auto"/>
        <w:left w:val="none" w:sz="0" w:space="0" w:color="auto"/>
        <w:bottom w:val="none" w:sz="0" w:space="0" w:color="auto"/>
        <w:right w:val="none" w:sz="0" w:space="0" w:color="auto"/>
      </w:divBdr>
    </w:div>
    <w:div w:id="1114637638">
      <w:bodyDiv w:val="1"/>
      <w:marLeft w:val="0"/>
      <w:marRight w:val="0"/>
      <w:marTop w:val="0"/>
      <w:marBottom w:val="0"/>
      <w:divBdr>
        <w:top w:val="none" w:sz="0" w:space="0" w:color="auto"/>
        <w:left w:val="none" w:sz="0" w:space="0" w:color="auto"/>
        <w:bottom w:val="none" w:sz="0" w:space="0" w:color="auto"/>
        <w:right w:val="none" w:sz="0" w:space="0" w:color="auto"/>
      </w:divBdr>
    </w:div>
    <w:div w:id="176025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1380</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ednize.oliveira</dc:creator>
  <cp:lastModifiedBy>Yngrid Fernandes Nogueira de Sousa</cp:lastModifiedBy>
  <cp:revision>17</cp:revision>
  <cp:lastPrinted>2025-02-04T12:32:00Z</cp:lastPrinted>
  <dcterms:created xsi:type="dcterms:W3CDTF">2024-05-24T13:11:00Z</dcterms:created>
  <dcterms:modified xsi:type="dcterms:W3CDTF">2025-02-04T12:32:00Z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2010</vt:lpwstr>
  </property>
  <property fmtid="{D5CDD505-2E9C-101B-9397-08002B2CF9AE}" pid="4" name="LastSaved">
    <vt:filetime>2019-04-09T00:00:00Z</vt:filetime>
  </property>
</Properties>
</file>